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70A97" w14:textId="452343E4" w:rsidR="002A7305" w:rsidRPr="00EF4F22" w:rsidRDefault="002A7305" w:rsidP="00180BCE">
      <w:pPr>
        <w:spacing w:after="0"/>
        <w:rPr>
          <w:lang w:val="en-GB"/>
        </w:rPr>
      </w:pPr>
      <w:r w:rsidRPr="00EF4F22">
        <w:rPr>
          <w:b/>
          <w:bCs/>
          <w:lang w:val="en-GB"/>
        </w:rPr>
        <w:t>IMWG meeting notes</w:t>
      </w:r>
      <w:r w:rsidRPr="00EF4F22">
        <w:rPr>
          <w:lang w:val="en-GB"/>
        </w:rPr>
        <w:br/>
      </w:r>
      <w:r w:rsidR="007E1164" w:rsidRPr="007E1164">
        <w:rPr>
          <w:lang w:val="en-GB"/>
        </w:rPr>
        <w:t>30.06.2021</w:t>
      </w:r>
    </w:p>
    <w:p w14:paraId="67A99F33" w14:textId="74D18E13" w:rsidR="002A7305" w:rsidRPr="00EF4F22" w:rsidRDefault="002A7305" w:rsidP="00180BCE">
      <w:pPr>
        <w:spacing w:after="0"/>
        <w:rPr>
          <w:lang w:val="en-GB"/>
        </w:rPr>
      </w:pPr>
    </w:p>
    <w:p w14:paraId="07B7E1CC" w14:textId="197362AB" w:rsidR="002A7305" w:rsidRPr="00EF4F22" w:rsidRDefault="002A7305" w:rsidP="00180BCE">
      <w:pPr>
        <w:spacing w:after="0"/>
        <w:rPr>
          <w:b/>
          <w:bCs/>
          <w:lang w:val="en-GB"/>
        </w:rPr>
      </w:pPr>
      <w:r w:rsidRPr="00EF4F22">
        <w:rPr>
          <w:b/>
          <w:bCs/>
          <w:lang w:val="en-GB"/>
        </w:rPr>
        <w:t>Agenda:</w:t>
      </w:r>
    </w:p>
    <w:p w14:paraId="280B4BB1" w14:textId="77777777" w:rsidR="00CB24AF" w:rsidRPr="00EF4F22" w:rsidRDefault="00CB24AF" w:rsidP="0030735C">
      <w:pPr>
        <w:spacing w:after="0"/>
        <w:rPr>
          <w:lang w:val="en-GB"/>
        </w:rPr>
      </w:pPr>
    </w:p>
    <w:p w14:paraId="1377C675" w14:textId="77777777" w:rsidR="007E1164" w:rsidRPr="007E1164" w:rsidRDefault="007E1164" w:rsidP="007E1164">
      <w:pPr>
        <w:spacing w:after="0"/>
        <w:rPr>
          <w:lang w:val="en-GB"/>
        </w:rPr>
      </w:pPr>
      <w:r w:rsidRPr="007E1164">
        <w:rPr>
          <w:lang w:val="en-GB"/>
        </w:rPr>
        <w:t>1) MSNA Update (Yurii)</w:t>
      </w:r>
    </w:p>
    <w:p w14:paraId="7505415B" w14:textId="77777777" w:rsidR="007E1164" w:rsidRPr="007E1164" w:rsidRDefault="007E1164" w:rsidP="007E1164">
      <w:pPr>
        <w:spacing w:after="0"/>
        <w:rPr>
          <w:lang w:val="en-GB"/>
        </w:rPr>
      </w:pPr>
      <w:r w:rsidRPr="007E1164">
        <w:rPr>
          <w:lang w:val="en-GB"/>
        </w:rPr>
        <w:t xml:space="preserve">2) </w:t>
      </w:r>
      <w:bookmarkStart w:id="0" w:name="_Hlk78302948"/>
      <w:r w:rsidRPr="007E1164">
        <w:rPr>
          <w:lang w:val="en-GB"/>
        </w:rPr>
        <w:t xml:space="preserve">Assessment Registry &amp; 5Ws </w:t>
      </w:r>
      <w:bookmarkEnd w:id="0"/>
      <w:r w:rsidRPr="007E1164">
        <w:rPr>
          <w:lang w:val="en-GB"/>
        </w:rPr>
        <w:t>(Eve)</w:t>
      </w:r>
    </w:p>
    <w:p w14:paraId="65A92B81" w14:textId="77777777" w:rsidR="007E1164" w:rsidRPr="007E1164" w:rsidRDefault="007E1164" w:rsidP="007E1164">
      <w:pPr>
        <w:spacing w:after="0"/>
        <w:rPr>
          <w:lang w:val="en-GB"/>
        </w:rPr>
      </w:pPr>
      <w:r w:rsidRPr="007E1164">
        <w:rPr>
          <w:lang w:val="en-GB"/>
        </w:rPr>
        <w:t>3) IARP update (Fred)</w:t>
      </w:r>
    </w:p>
    <w:p w14:paraId="25F6DFFD" w14:textId="77777777" w:rsidR="007E1164" w:rsidRPr="007E1164" w:rsidRDefault="007E1164" w:rsidP="007E1164">
      <w:pPr>
        <w:spacing w:after="0"/>
        <w:rPr>
          <w:lang w:val="en-GB"/>
        </w:rPr>
      </w:pPr>
      <w:r w:rsidRPr="007E1164">
        <w:rPr>
          <w:lang w:val="en-GB"/>
        </w:rPr>
        <w:t>4) Agency Updates</w:t>
      </w:r>
    </w:p>
    <w:p w14:paraId="2F3F6B3C" w14:textId="72E2E085" w:rsidR="00E579F8" w:rsidRDefault="007E1164" w:rsidP="007E1164">
      <w:pPr>
        <w:spacing w:after="0"/>
        <w:rPr>
          <w:lang w:val="en-GB"/>
        </w:rPr>
      </w:pPr>
      <w:r w:rsidRPr="007E1164">
        <w:rPr>
          <w:lang w:val="en-GB"/>
        </w:rPr>
        <w:t>5) AOB</w:t>
      </w:r>
    </w:p>
    <w:p w14:paraId="04CC5198" w14:textId="2D62F0B0" w:rsidR="007E1164" w:rsidRDefault="007E1164" w:rsidP="007E1164">
      <w:pPr>
        <w:spacing w:after="0"/>
        <w:rPr>
          <w:lang w:val="en-GB"/>
        </w:rPr>
      </w:pPr>
    </w:p>
    <w:p w14:paraId="47B859D1" w14:textId="77777777" w:rsidR="007E1164" w:rsidRDefault="007E1164" w:rsidP="007E1164">
      <w:pPr>
        <w:spacing w:after="0"/>
        <w:rPr>
          <w:b/>
          <w:bCs/>
          <w:lang w:val="en-GB"/>
        </w:rPr>
      </w:pPr>
    </w:p>
    <w:p w14:paraId="1E052577" w14:textId="7AEB483E" w:rsidR="002A7305" w:rsidRPr="00EF4F22" w:rsidRDefault="00D84E8B" w:rsidP="00180BCE">
      <w:pPr>
        <w:spacing w:after="0"/>
        <w:rPr>
          <w:b/>
          <w:bCs/>
          <w:lang w:val="en-GB"/>
        </w:rPr>
      </w:pPr>
      <w:r w:rsidRPr="00EF4F22">
        <w:rPr>
          <w:b/>
          <w:bCs/>
          <w:lang w:val="en-GB"/>
        </w:rPr>
        <w:t>Attendees</w:t>
      </w:r>
      <w:r w:rsidR="00DF507D" w:rsidRPr="00EF4F22">
        <w:rPr>
          <w:b/>
          <w:bCs/>
          <w:lang w:val="en-GB"/>
        </w:rPr>
        <w:t>:</w:t>
      </w:r>
    </w:p>
    <w:tbl>
      <w:tblPr>
        <w:tblStyle w:val="TableGrid"/>
        <w:tblW w:w="0" w:type="auto"/>
        <w:tblLook w:val="04A0" w:firstRow="1" w:lastRow="0" w:firstColumn="1" w:lastColumn="0" w:noHBand="0" w:noVBand="1"/>
      </w:tblPr>
      <w:tblGrid>
        <w:gridCol w:w="2970"/>
        <w:gridCol w:w="2970"/>
      </w:tblGrid>
      <w:tr w:rsidR="00DC47D2" w:rsidRPr="00EF4F22" w14:paraId="1F41596E" w14:textId="77777777" w:rsidTr="00431C17">
        <w:tc>
          <w:tcPr>
            <w:tcW w:w="2970" w:type="dxa"/>
            <w:shd w:val="clear" w:color="auto" w:fill="D9D9D9" w:themeFill="background1" w:themeFillShade="D9"/>
          </w:tcPr>
          <w:p w14:paraId="3FA5497E" w14:textId="77777777" w:rsidR="00DC47D2" w:rsidRPr="00431C17" w:rsidRDefault="00DC47D2" w:rsidP="00DF507D">
            <w:pPr>
              <w:rPr>
                <w:b/>
                <w:bCs/>
                <w:lang w:val="en-GB"/>
              </w:rPr>
            </w:pPr>
            <w:r w:rsidRPr="00431C17">
              <w:rPr>
                <w:b/>
                <w:bCs/>
                <w:lang w:val="en-GB"/>
              </w:rPr>
              <w:t>Name</w:t>
            </w:r>
          </w:p>
        </w:tc>
        <w:tc>
          <w:tcPr>
            <w:tcW w:w="2970" w:type="dxa"/>
            <w:shd w:val="clear" w:color="auto" w:fill="D9D9D9" w:themeFill="background1" w:themeFillShade="D9"/>
          </w:tcPr>
          <w:p w14:paraId="43012DA8" w14:textId="77777777" w:rsidR="00DC47D2" w:rsidRPr="00431C17" w:rsidRDefault="00DC47D2" w:rsidP="00DF507D">
            <w:pPr>
              <w:rPr>
                <w:b/>
                <w:bCs/>
                <w:lang w:val="en-GB"/>
              </w:rPr>
            </w:pPr>
            <w:r w:rsidRPr="00431C17">
              <w:rPr>
                <w:b/>
                <w:bCs/>
                <w:lang w:val="en-GB"/>
              </w:rPr>
              <w:t>Organisation</w:t>
            </w:r>
          </w:p>
        </w:tc>
      </w:tr>
      <w:tr w:rsidR="006474F0" w:rsidRPr="00EF4F22" w14:paraId="62846184" w14:textId="77777777" w:rsidTr="00431C17">
        <w:tc>
          <w:tcPr>
            <w:tcW w:w="2970" w:type="dxa"/>
          </w:tcPr>
          <w:p w14:paraId="29108ACF" w14:textId="77777777" w:rsidR="006474F0" w:rsidRPr="00EF4F22" w:rsidRDefault="006474F0" w:rsidP="006474F0">
            <w:pPr>
              <w:rPr>
                <w:lang w:val="en-GB"/>
              </w:rPr>
            </w:pPr>
            <w:r w:rsidRPr="00EF4F22">
              <w:rPr>
                <w:lang w:val="en-GB"/>
              </w:rPr>
              <w:t>Evangeline McGlynn</w:t>
            </w:r>
          </w:p>
        </w:tc>
        <w:tc>
          <w:tcPr>
            <w:tcW w:w="2970" w:type="dxa"/>
          </w:tcPr>
          <w:p w14:paraId="7AA9E35D" w14:textId="76FE23D8" w:rsidR="006474F0" w:rsidRPr="00EF4F22" w:rsidRDefault="006474F0" w:rsidP="006474F0">
            <w:pPr>
              <w:rPr>
                <w:lang w:val="en-GB"/>
              </w:rPr>
            </w:pPr>
            <w:r w:rsidRPr="00EF4F22">
              <w:rPr>
                <w:lang w:val="en-GB"/>
              </w:rPr>
              <w:t>IMPACT (</w:t>
            </w:r>
            <w:r w:rsidR="00B169DA">
              <w:rPr>
                <w:lang w:val="en-GB"/>
              </w:rPr>
              <w:t>C</w:t>
            </w:r>
            <w:r w:rsidRPr="00EF4F22">
              <w:rPr>
                <w:lang w:val="en-GB"/>
              </w:rPr>
              <w:t>hair)</w:t>
            </w:r>
          </w:p>
        </w:tc>
      </w:tr>
      <w:tr w:rsidR="00B169DA" w:rsidRPr="00EF4F22" w14:paraId="53A46BDE" w14:textId="77777777" w:rsidTr="00431C17">
        <w:tc>
          <w:tcPr>
            <w:tcW w:w="2970" w:type="dxa"/>
          </w:tcPr>
          <w:p w14:paraId="5648CFCA" w14:textId="23FD1653" w:rsidR="00B169DA" w:rsidRPr="00EF4F22" w:rsidRDefault="00B169DA" w:rsidP="00B169DA">
            <w:pPr>
              <w:rPr>
                <w:lang w:val="en-GB"/>
              </w:rPr>
            </w:pPr>
            <w:r w:rsidRPr="00EF4F22">
              <w:rPr>
                <w:lang w:val="en-GB"/>
              </w:rPr>
              <w:t>Yurii Arnautov</w:t>
            </w:r>
          </w:p>
        </w:tc>
        <w:tc>
          <w:tcPr>
            <w:tcW w:w="2970" w:type="dxa"/>
          </w:tcPr>
          <w:p w14:paraId="42586195" w14:textId="3F4E3AE1" w:rsidR="00B169DA" w:rsidRPr="00EF4F22" w:rsidRDefault="00B169DA" w:rsidP="00B169DA">
            <w:pPr>
              <w:rPr>
                <w:lang w:val="en-GB"/>
              </w:rPr>
            </w:pPr>
            <w:r w:rsidRPr="00EF4F22">
              <w:rPr>
                <w:lang w:val="en-GB"/>
              </w:rPr>
              <w:t>REACH</w:t>
            </w:r>
          </w:p>
        </w:tc>
      </w:tr>
      <w:tr w:rsidR="00B169DA" w:rsidRPr="00EF4F22" w14:paraId="5D89DB85" w14:textId="77777777" w:rsidTr="00431C17">
        <w:tc>
          <w:tcPr>
            <w:tcW w:w="2970" w:type="dxa"/>
          </w:tcPr>
          <w:p w14:paraId="0B9DF32D" w14:textId="77777777" w:rsidR="00B169DA" w:rsidRPr="00EF4F22" w:rsidRDefault="00B169DA" w:rsidP="00B169DA">
            <w:pPr>
              <w:rPr>
                <w:lang w:val="en-GB"/>
              </w:rPr>
            </w:pPr>
            <w:r w:rsidRPr="00EF4F22">
              <w:rPr>
                <w:lang w:val="en-GB"/>
              </w:rPr>
              <w:t>Christine Clarence</w:t>
            </w:r>
          </w:p>
        </w:tc>
        <w:tc>
          <w:tcPr>
            <w:tcW w:w="2970" w:type="dxa"/>
          </w:tcPr>
          <w:p w14:paraId="4586C03E" w14:textId="77777777" w:rsidR="00B169DA" w:rsidRPr="00EF4F22" w:rsidRDefault="00B169DA" w:rsidP="00B169DA">
            <w:pPr>
              <w:rPr>
                <w:lang w:val="en-GB"/>
              </w:rPr>
            </w:pPr>
            <w:r w:rsidRPr="00EF4F22">
              <w:rPr>
                <w:lang w:val="en-GB"/>
              </w:rPr>
              <w:t>IOM</w:t>
            </w:r>
          </w:p>
        </w:tc>
      </w:tr>
      <w:tr w:rsidR="00B169DA" w:rsidRPr="00EF4F22" w14:paraId="737DAAB4" w14:textId="77777777" w:rsidTr="00431C17">
        <w:tc>
          <w:tcPr>
            <w:tcW w:w="2970" w:type="dxa"/>
          </w:tcPr>
          <w:p w14:paraId="2D90BCE9" w14:textId="77777777" w:rsidR="00B169DA" w:rsidRPr="00EF4F22" w:rsidRDefault="00B169DA" w:rsidP="00B169DA">
            <w:pPr>
              <w:rPr>
                <w:lang w:val="en-GB"/>
              </w:rPr>
            </w:pPr>
            <w:r w:rsidRPr="00DC47D2">
              <w:rPr>
                <w:lang w:val="en-GB"/>
              </w:rPr>
              <w:t>Rima Sargsyan</w:t>
            </w:r>
          </w:p>
        </w:tc>
        <w:tc>
          <w:tcPr>
            <w:tcW w:w="2970" w:type="dxa"/>
          </w:tcPr>
          <w:p w14:paraId="24ABF25D" w14:textId="77777777" w:rsidR="00B169DA" w:rsidRPr="00EF4F22" w:rsidRDefault="00B169DA" w:rsidP="00B169DA">
            <w:pPr>
              <w:rPr>
                <w:lang w:val="en-GB"/>
              </w:rPr>
            </w:pPr>
            <w:r>
              <w:rPr>
                <w:lang w:val="en-GB"/>
              </w:rPr>
              <w:t>REACH</w:t>
            </w:r>
          </w:p>
        </w:tc>
      </w:tr>
      <w:tr w:rsidR="00B169DA" w:rsidRPr="00EF4F22" w14:paraId="50605577" w14:textId="77777777" w:rsidTr="00431C17">
        <w:tc>
          <w:tcPr>
            <w:tcW w:w="2970" w:type="dxa"/>
          </w:tcPr>
          <w:p w14:paraId="370AC230" w14:textId="77777777" w:rsidR="00B169DA" w:rsidRPr="00EF4F22" w:rsidRDefault="00B169DA" w:rsidP="00B169DA">
            <w:pPr>
              <w:rPr>
                <w:lang w:val="en-GB"/>
              </w:rPr>
            </w:pPr>
            <w:r>
              <w:rPr>
                <w:lang w:val="en-GB"/>
              </w:rPr>
              <w:t xml:space="preserve">Patrice </w:t>
            </w:r>
            <w:r w:rsidRPr="00431C17">
              <w:rPr>
                <w:lang w:val="en-GB"/>
              </w:rPr>
              <w:t>N</w:t>
            </w:r>
            <w:r>
              <w:rPr>
                <w:lang w:val="en-GB"/>
              </w:rPr>
              <w:t>dji</w:t>
            </w:r>
          </w:p>
        </w:tc>
        <w:tc>
          <w:tcPr>
            <w:tcW w:w="2970" w:type="dxa"/>
          </w:tcPr>
          <w:p w14:paraId="32C87C96" w14:textId="77777777" w:rsidR="00B169DA" w:rsidRPr="00EF4F22" w:rsidRDefault="00B169DA" w:rsidP="00B169DA">
            <w:pPr>
              <w:rPr>
                <w:lang w:val="en-GB"/>
              </w:rPr>
            </w:pPr>
            <w:r>
              <w:rPr>
                <w:lang w:val="en-GB"/>
              </w:rPr>
              <w:t>UNDP</w:t>
            </w:r>
          </w:p>
        </w:tc>
      </w:tr>
      <w:tr w:rsidR="00B169DA" w:rsidRPr="00EF4F22" w14:paraId="372717DC" w14:textId="77777777" w:rsidTr="00431C17">
        <w:tc>
          <w:tcPr>
            <w:tcW w:w="2970" w:type="dxa"/>
          </w:tcPr>
          <w:p w14:paraId="1ABBA14E" w14:textId="77777777" w:rsidR="00B169DA" w:rsidRPr="00EF4F22" w:rsidRDefault="00B169DA" w:rsidP="00B169DA">
            <w:pPr>
              <w:rPr>
                <w:lang w:val="en-GB"/>
              </w:rPr>
            </w:pPr>
            <w:r w:rsidRPr="00EF4F22">
              <w:rPr>
                <w:lang w:val="en-GB"/>
              </w:rPr>
              <w:t>Garik Khachikyan</w:t>
            </w:r>
          </w:p>
        </w:tc>
        <w:tc>
          <w:tcPr>
            <w:tcW w:w="2970" w:type="dxa"/>
          </w:tcPr>
          <w:p w14:paraId="2B27F678" w14:textId="77777777" w:rsidR="00B169DA" w:rsidRPr="00EF4F22" w:rsidRDefault="00B169DA" w:rsidP="00B169DA">
            <w:pPr>
              <w:rPr>
                <w:lang w:val="en-GB"/>
              </w:rPr>
            </w:pPr>
            <w:r w:rsidRPr="00EF4F22">
              <w:rPr>
                <w:lang w:val="en-GB"/>
              </w:rPr>
              <w:t>UNDP</w:t>
            </w:r>
          </w:p>
        </w:tc>
      </w:tr>
      <w:tr w:rsidR="00B169DA" w:rsidRPr="00EF4F22" w14:paraId="64E9AA39" w14:textId="77777777" w:rsidTr="00431C17">
        <w:tc>
          <w:tcPr>
            <w:tcW w:w="2970" w:type="dxa"/>
          </w:tcPr>
          <w:p w14:paraId="71CB2A96" w14:textId="77777777" w:rsidR="00B169DA" w:rsidRPr="00EF4F22" w:rsidRDefault="00B169DA" w:rsidP="00B169DA">
            <w:pPr>
              <w:rPr>
                <w:lang w:val="en-GB"/>
              </w:rPr>
            </w:pPr>
            <w:r w:rsidRPr="00EF4F22">
              <w:rPr>
                <w:lang w:val="en-GB"/>
              </w:rPr>
              <w:t>Frederic Cussigh</w:t>
            </w:r>
          </w:p>
        </w:tc>
        <w:tc>
          <w:tcPr>
            <w:tcW w:w="2970" w:type="dxa"/>
          </w:tcPr>
          <w:p w14:paraId="1A2DAA44" w14:textId="05A025B9" w:rsidR="00B169DA" w:rsidRPr="00EF4F22" w:rsidRDefault="00B169DA" w:rsidP="00B169DA">
            <w:pPr>
              <w:rPr>
                <w:lang w:val="en-GB"/>
              </w:rPr>
            </w:pPr>
            <w:r w:rsidRPr="00EF4F22">
              <w:rPr>
                <w:lang w:val="en-GB"/>
              </w:rPr>
              <w:t>UNHCR</w:t>
            </w:r>
            <w:r>
              <w:rPr>
                <w:lang w:val="en-GB"/>
              </w:rPr>
              <w:t>/CSG</w:t>
            </w:r>
          </w:p>
        </w:tc>
      </w:tr>
      <w:tr w:rsidR="00B169DA" w:rsidRPr="00EF4F22" w14:paraId="553C7B48" w14:textId="77777777" w:rsidTr="00431C17">
        <w:tc>
          <w:tcPr>
            <w:tcW w:w="2970" w:type="dxa"/>
          </w:tcPr>
          <w:p w14:paraId="17A1CA0D" w14:textId="77777777" w:rsidR="00B169DA" w:rsidRPr="00EF4F22" w:rsidRDefault="00B169DA" w:rsidP="00B169DA">
            <w:pPr>
              <w:rPr>
                <w:lang w:val="en-GB"/>
              </w:rPr>
            </w:pPr>
            <w:r w:rsidRPr="00EF4F22">
              <w:rPr>
                <w:lang w:val="en-GB"/>
              </w:rPr>
              <w:t>Astghik Ghevondyan</w:t>
            </w:r>
          </w:p>
        </w:tc>
        <w:tc>
          <w:tcPr>
            <w:tcW w:w="2970" w:type="dxa"/>
          </w:tcPr>
          <w:p w14:paraId="34D11C6E" w14:textId="77777777" w:rsidR="00B169DA" w:rsidRPr="00EF4F22" w:rsidRDefault="00B169DA" w:rsidP="00B169DA">
            <w:pPr>
              <w:rPr>
                <w:lang w:val="en-GB"/>
              </w:rPr>
            </w:pPr>
            <w:r w:rsidRPr="00EF4F22">
              <w:rPr>
                <w:lang w:val="en-GB"/>
              </w:rPr>
              <w:t>UNHCR</w:t>
            </w:r>
          </w:p>
        </w:tc>
      </w:tr>
      <w:tr w:rsidR="00B169DA" w:rsidRPr="00EF4F22" w14:paraId="1C97F06A" w14:textId="77777777" w:rsidTr="00431C17">
        <w:tc>
          <w:tcPr>
            <w:tcW w:w="2970" w:type="dxa"/>
          </w:tcPr>
          <w:p w14:paraId="3D2151EA" w14:textId="77777777" w:rsidR="00B169DA" w:rsidRPr="00EF4F22" w:rsidRDefault="00B169DA" w:rsidP="00B169DA">
            <w:pPr>
              <w:rPr>
                <w:lang w:val="en-GB"/>
              </w:rPr>
            </w:pPr>
            <w:r w:rsidRPr="00EF4F22">
              <w:rPr>
                <w:lang w:val="en-GB"/>
              </w:rPr>
              <w:t>Astghik Martirosyan</w:t>
            </w:r>
          </w:p>
        </w:tc>
        <w:tc>
          <w:tcPr>
            <w:tcW w:w="2970" w:type="dxa"/>
          </w:tcPr>
          <w:p w14:paraId="425045F0" w14:textId="77777777" w:rsidR="00B169DA" w:rsidRPr="00EF4F22" w:rsidRDefault="00B169DA" w:rsidP="00B169DA">
            <w:pPr>
              <w:rPr>
                <w:lang w:val="en-GB"/>
              </w:rPr>
            </w:pPr>
            <w:r w:rsidRPr="00EF4F22">
              <w:rPr>
                <w:lang w:val="en-GB"/>
              </w:rPr>
              <w:t>UNICEF</w:t>
            </w:r>
          </w:p>
        </w:tc>
      </w:tr>
      <w:tr w:rsidR="00B169DA" w:rsidRPr="00EF4F22" w14:paraId="087AD5DB" w14:textId="77777777" w:rsidTr="00431C17">
        <w:tc>
          <w:tcPr>
            <w:tcW w:w="2970" w:type="dxa"/>
          </w:tcPr>
          <w:p w14:paraId="7F6D51F4" w14:textId="77777777" w:rsidR="00B169DA" w:rsidRPr="00EF4F22" w:rsidRDefault="00B169DA" w:rsidP="00B169DA">
            <w:pPr>
              <w:rPr>
                <w:lang w:val="en-GB"/>
              </w:rPr>
            </w:pPr>
            <w:r w:rsidRPr="00EF4F22">
              <w:rPr>
                <w:lang w:val="en-GB"/>
              </w:rPr>
              <w:t>Arpine Harutyunyan</w:t>
            </w:r>
          </w:p>
        </w:tc>
        <w:tc>
          <w:tcPr>
            <w:tcW w:w="2970" w:type="dxa"/>
          </w:tcPr>
          <w:p w14:paraId="1FEDFFCB" w14:textId="77777777" w:rsidR="00B169DA" w:rsidRPr="00EF4F22" w:rsidRDefault="00B169DA" w:rsidP="00B169DA">
            <w:pPr>
              <w:rPr>
                <w:lang w:val="en-GB"/>
              </w:rPr>
            </w:pPr>
            <w:r w:rsidRPr="00EF4F22">
              <w:rPr>
                <w:lang w:val="en-GB"/>
              </w:rPr>
              <w:t>WHO</w:t>
            </w:r>
          </w:p>
        </w:tc>
      </w:tr>
    </w:tbl>
    <w:p w14:paraId="1EA554CB" w14:textId="7D886B49" w:rsidR="002A7305" w:rsidRPr="00EF4F22" w:rsidRDefault="002A7305" w:rsidP="00AD5E2F">
      <w:pPr>
        <w:spacing w:after="0" w:line="240" w:lineRule="auto"/>
        <w:rPr>
          <w:lang w:val="en-GB"/>
        </w:rPr>
      </w:pPr>
    </w:p>
    <w:p w14:paraId="44FD905C" w14:textId="77777777" w:rsidR="00226432" w:rsidRPr="00EF4F22" w:rsidRDefault="00226432" w:rsidP="00180BCE">
      <w:pPr>
        <w:spacing w:after="0"/>
        <w:rPr>
          <w:b/>
          <w:bCs/>
          <w:lang w:val="en-GB"/>
        </w:rPr>
      </w:pPr>
    </w:p>
    <w:p w14:paraId="7588CE5F" w14:textId="6583822A" w:rsidR="00180BCE" w:rsidRPr="00EF4F22" w:rsidRDefault="00180BCE" w:rsidP="00180BCE">
      <w:pPr>
        <w:spacing w:after="0"/>
        <w:rPr>
          <w:b/>
          <w:bCs/>
          <w:lang w:val="en-GB"/>
        </w:rPr>
      </w:pPr>
      <w:r w:rsidRPr="00EF4F22">
        <w:rPr>
          <w:b/>
          <w:bCs/>
          <w:lang w:val="en-GB"/>
        </w:rPr>
        <w:t xml:space="preserve">1. </w:t>
      </w:r>
      <w:r w:rsidR="006474F0" w:rsidRPr="006474F0">
        <w:rPr>
          <w:b/>
          <w:bCs/>
          <w:lang w:val="en-GB"/>
        </w:rPr>
        <w:t>MSNA (Yurii - REACH)</w:t>
      </w:r>
    </w:p>
    <w:p w14:paraId="2209CF76" w14:textId="77777777" w:rsidR="00A3781F" w:rsidRDefault="00A3781F" w:rsidP="00A3781F">
      <w:pPr>
        <w:spacing w:after="0"/>
        <w:jc w:val="both"/>
        <w:rPr>
          <w:lang w:val="en-GB"/>
        </w:rPr>
      </w:pPr>
    </w:p>
    <w:p w14:paraId="438B4BD8" w14:textId="2193A842" w:rsidR="00E137B7" w:rsidRDefault="00B169DA" w:rsidP="00003AD2">
      <w:pPr>
        <w:pStyle w:val="ListParagraph"/>
        <w:numPr>
          <w:ilvl w:val="0"/>
          <w:numId w:val="3"/>
        </w:numPr>
        <w:spacing w:after="0"/>
        <w:jc w:val="both"/>
        <w:rPr>
          <w:rStyle w:val="Hyperlink"/>
          <w:color w:val="auto"/>
          <w:u w:val="none"/>
          <w:lang w:val="en-GB"/>
        </w:rPr>
      </w:pPr>
      <w:r>
        <w:rPr>
          <w:rStyle w:val="Hyperlink"/>
          <w:color w:val="auto"/>
          <w:u w:val="none"/>
          <w:lang w:val="en-GB"/>
        </w:rPr>
        <w:t>Yurii Presented the findings from the finalised MSNA 2</w:t>
      </w:r>
      <w:r w:rsidRPr="00B169DA">
        <w:rPr>
          <w:rStyle w:val="Hyperlink"/>
          <w:color w:val="auto"/>
          <w:u w:val="none"/>
          <w:vertAlign w:val="superscript"/>
          <w:lang w:val="en-GB"/>
        </w:rPr>
        <w:t>nd</w:t>
      </w:r>
      <w:r>
        <w:rPr>
          <w:rStyle w:val="Hyperlink"/>
          <w:color w:val="auto"/>
          <w:u w:val="none"/>
          <w:lang w:val="en-GB"/>
        </w:rPr>
        <w:t xml:space="preserve"> Round Report</w:t>
      </w:r>
    </w:p>
    <w:p w14:paraId="38AAA021" w14:textId="17E88122" w:rsidR="00B169DA" w:rsidRPr="00EF4F22" w:rsidRDefault="00B169DA" w:rsidP="00003AD2">
      <w:pPr>
        <w:pStyle w:val="ListParagraph"/>
        <w:numPr>
          <w:ilvl w:val="0"/>
          <w:numId w:val="3"/>
        </w:numPr>
        <w:spacing w:after="0"/>
        <w:jc w:val="both"/>
        <w:rPr>
          <w:rStyle w:val="Hyperlink"/>
          <w:color w:val="auto"/>
          <w:u w:val="none"/>
          <w:lang w:val="en-GB"/>
        </w:rPr>
      </w:pPr>
      <w:r>
        <w:rPr>
          <w:rStyle w:val="Hyperlink"/>
          <w:color w:val="auto"/>
          <w:u w:val="none"/>
          <w:lang w:val="en-GB"/>
        </w:rPr>
        <w:t xml:space="preserve">The full report, presentation and frequency tables can be found on the Armenia Response Portal, under the IMWG: </w:t>
      </w:r>
      <w:hyperlink r:id="rId6" w:history="1">
        <w:r>
          <w:rPr>
            <w:rStyle w:val="Hyperlink"/>
          </w:rPr>
          <w:t>Working Group: Information Management Working Group - Armenia (unhcr.org)</w:t>
        </w:r>
      </w:hyperlink>
      <w:r>
        <w:rPr>
          <w:rStyle w:val="Hyperlink"/>
          <w:color w:val="auto"/>
          <w:u w:val="none"/>
          <w:lang w:val="en-GB"/>
        </w:rPr>
        <w:t xml:space="preserve"> </w:t>
      </w:r>
    </w:p>
    <w:p w14:paraId="5A64D400" w14:textId="3DAC5101" w:rsidR="00AD5E2F" w:rsidRPr="00003AD2" w:rsidRDefault="00AD5E2F" w:rsidP="00003AD2">
      <w:pPr>
        <w:spacing w:after="0"/>
        <w:jc w:val="both"/>
        <w:rPr>
          <w:b/>
          <w:bCs/>
          <w:lang w:val="en-GB"/>
        </w:rPr>
      </w:pPr>
    </w:p>
    <w:p w14:paraId="6F874049" w14:textId="0304C04B" w:rsidR="00805C8F" w:rsidRDefault="00805C8F" w:rsidP="00702D43">
      <w:pPr>
        <w:spacing w:after="0"/>
        <w:jc w:val="both"/>
        <w:rPr>
          <w:b/>
          <w:bCs/>
          <w:lang w:val="en-GB"/>
        </w:rPr>
      </w:pPr>
      <w:r w:rsidRPr="00EF4F22">
        <w:rPr>
          <w:b/>
          <w:bCs/>
          <w:lang w:val="en-GB"/>
        </w:rPr>
        <w:t xml:space="preserve">2. </w:t>
      </w:r>
      <w:r w:rsidR="00B169DA" w:rsidRPr="00B169DA">
        <w:rPr>
          <w:b/>
          <w:bCs/>
          <w:lang w:val="en-GB"/>
        </w:rPr>
        <w:t>Assessment Registry &amp; 5Ws</w:t>
      </w:r>
    </w:p>
    <w:p w14:paraId="5CE7970D" w14:textId="2617C930" w:rsidR="005B0C6D" w:rsidRDefault="005B0C6D" w:rsidP="00702D43">
      <w:pPr>
        <w:spacing w:after="0"/>
        <w:jc w:val="both"/>
        <w:rPr>
          <w:b/>
          <w:bCs/>
          <w:lang w:val="en-GB"/>
        </w:rPr>
      </w:pPr>
    </w:p>
    <w:p w14:paraId="798DF347" w14:textId="604C2CEC" w:rsidR="00B169DA" w:rsidRPr="00B169DA" w:rsidRDefault="00B169DA" w:rsidP="00702D43">
      <w:pPr>
        <w:spacing w:after="0"/>
        <w:jc w:val="both"/>
        <w:rPr>
          <w:lang w:val="en-GB"/>
        </w:rPr>
      </w:pPr>
      <w:r w:rsidRPr="00B169DA">
        <w:rPr>
          <w:lang w:val="en-GB"/>
        </w:rPr>
        <w:t>Eve</w:t>
      </w:r>
      <w:r>
        <w:rPr>
          <w:lang w:val="en-GB"/>
        </w:rPr>
        <w:t xml:space="preserve"> encouraged organisations to continue filling in the Assessment Registry and the 5Ws.</w:t>
      </w:r>
    </w:p>
    <w:p w14:paraId="74A0F322" w14:textId="506BDC74" w:rsidR="00B169DA" w:rsidRPr="00B169DA" w:rsidRDefault="00B169DA" w:rsidP="00B169DA">
      <w:pPr>
        <w:pStyle w:val="ListParagraph"/>
        <w:numPr>
          <w:ilvl w:val="0"/>
          <w:numId w:val="14"/>
        </w:numPr>
        <w:spacing w:after="0"/>
        <w:jc w:val="both"/>
        <w:rPr>
          <w:lang w:val="en-GB"/>
        </w:rPr>
      </w:pPr>
      <w:r w:rsidRPr="00B169DA">
        <w:rPr>
          <w:lang w:val="en-GB"/>
        </w:rPr>
        <w:t>UNICEF inquired several aspects and provided some comments related to the IARP extension and further reporting on the achievements</w:t>
      </w:r>
      <w:r>
        <w:rPr>
          <w:lang w:val="en-GB"/>
        </w:rPr>
        <w:t>.</w:t>
      </w:r>
    </w:p>
    <w:p w14:paraId="5D9C4B79" w14:textId="77777777" w:rsidR="00B169DA" w:rsidRPr="00B169DA" w:rsidRDefault="00B169DA" w:rsidP="00B169DA">
      <w:pPr>
        <w:pStyle w:val="ListParagraph"/>
        <w:numPr>
          <w:ilvl w:val="0"/>
          <w:numId w:val="14"/>
        </w:numPr>
        <w:spacing w:after="0"/>
        <w:jc w:val="both"/>
        <w:rPr>
          <w:lang w:val="en-GB"/>
        </w:rPr>
      </w:pPr>
      <w:r w:rsidRPr="00B169DA">
        <w:rPr>
          <w:lang w:val="en-GB"/>
        </w:rPr>
        <w:t>Are there any plans to modify the 5W system?</w:t>
      </w:r>
    </w:p>
    <w:p w14:paraId="50083EFE" w14:textId="77777777" w:rsidR="00B169DA" w:rsidRPr="00B169DA" w:rsidRDefault="00B169DA" w:rsidP="00B169DA">
      <w:pPr>
        <w:pStyle w:val="ListParagraph"/>
        <w:numPr>
          <w:ilvl w:val="0"/>
          <w:numId w:val="14"/>
        </w:numPr>
        <w:spacing w:after="0"/>
        <w:jc w:val="both"/>
        <w:rPr>
          <w:lang w:val="en-GB"/>
        </w:rPr>
      </w:pPr>
      <w:r w:rsidRPr="00B169DA">
        <w:rPr>
          <w:lang w:val="en-GB"/>
        </w:rPr>
        <w:t>How the coordination structure is going to change and what practical implications would it bring?</w:t>
      </w:r>
    </w:p>
    <w:p w14:paraId="67656E89" w14:textId="77777777" w:rsidR="00B169DA" w:rsidRPr="00B169DA" w:rsidRDefault="00B169DA" w:rsidP="00B169DA">
      <w:pPr>
        <w:pStyle w:val="ListParagraph"/>
        <w:numPr>
          <w:ilvl w:val="0"/>
          <w:numId w:val="14"/>
        </w:numPr>
        <w:spacing w:after="0"/>
        <w:jc w:val="both"/>
        <w:rPr>
          <w:lang w:val="en-GB"/>
        </w:rPr>
      </w:pPr>
      <w:r w:rsidRPr="00B169DA">
        <w:rPr>
          <w:lang w:val="en-GB"/>
        </w:rPr>
        <w:t>Is there a possibility to review the objectives and indicators that were set for the previous iteration of the IARP? This will also influence the reporting on the achievements in the new period, since there is some disconnection between current activities in the sector and the earlier programmed ones.</w:t>
      </w:r>
    </w:p>
    <w:p w14:paraId="7D02F87F" w14:textId="77777777" w:rsidR="00C86B44" w:rsidRDefault="00C86B44" w:rsidP="00A3781F">
      <w:pPr>
        <w:spacing w:after="0"/>
        <w:jc w:val="both"/>
        <w:rPr>
          <w:b/>
          <w:bCs/>
          <w:lang w:val="en-GB"/>
        </w:rPr>
      </w:pPr>
    </w:p>
    <w:p w14:paraId="129BE488" w14:textId="0D3D200B" w:rsidR="002A35D0" w:rsidRPr="001B0784" w:rsidRDefault="00805C8F" w:rsidP="00A3781F">
      <w:pPr>
        <w:spacing w:after="0"/>
        <w:jc w:val="both"/>
        <w:rPr>
          <w:b/>
          <w:bCs/>
          <w:lang w:val="en-GB"/>
        </w:rPr>
      </w:pPr>
      <w:r w:rsidRPr="001B0784">
        <w:rPr>
          <w:b/>
          <w:bCs/>
          <w:lang w:val="en-GB"/>
        </w:rPr>
        <w:lastRenderedPageBreak/>
        <w:t>3</w:t>
      </w:r>
      <w:r w:rsidR="005C6B11" w:rsidRPr="001B0784">
        <w:rPr>
          <w:b/>
          <w:bCs/>
          <w:lang w:val="en-GB"/>
        </w:rPr>
        <w:t xml:space="preserve">. </w:t>
      </w:r>
      <w:r w:rsidR="00C86B44" w:rsidRPr="00C86B44">
        <w:rPr>
          <w:b/>
          <w:bCs/>
          <w:lang w:val="en-GB"/>
        </w:rPr>
        <w:t>IARP update (Fred)</w:t>
      </w:r>
    </w:p>
    <w:p w14:paraId="1630FB16" w14:textId="77777777" w:rsidR="00A3781F" w:rsidRDefault="00A3781F" w:rsidP="00A3781F">
      <w:pPr>
        <w:spacing w:after="0"/>
        <w:jc w:val="both"/>
        <w:rPr>
          <w:lang w:val="en-GB"/>
        </w:rPr>
      </w:pPr>
    </w:p>
    <w:p w14:paraId="0952FC56" w14:textId="77777777" w:rsidR="00C86B44" w:rsidRDefault="00C86B44" w:rsidP="00A3781F">
      <w:pPr>
        <w:pStyle w:val="ListParagraph"/>
        <w:numPr>
          <w:ilvl w:val="0"/>
          <w:numId w:val="13"/>
        </w:numPr>
        <w:spacing w:after="0"/>
        <w:rPr>
          <w:lang w:val="en-GB"/>
        </w:rPr>
      </w:pPr>
      <w:r w:rsidRPr="00C86B44">
        <w:rPr>
          <w:lang w:val="en-GB"/>
        </w:rPr>
        <w:t xml:space="preserve">Senior Emergency Preparedness Coordinator shared information that the IARP extension is being finalized in terms of targets and objective set by each agency. He stressed the role of 5Ws as a crucial tool to capture geographically accurate data. </w:t>
      </w:r>
    </w:p>
    <w:p w14:paraId="5A225C0F" w14:textId="77777777" w:rsidR="00C86B44" w:rsidRDefault="00C86B44" w:rsidP="00A3781F">
      <w:pPr>
        <w:pStyle w:val="ListParagraph"/>
        <w:numPr>
          <w:ilvl w:val="0"/>
          <w:numId w:val="13"/>
        </w:numPr>
        <w:spacing w:after="0"/>
        <w:rPr>
          <w:lang w:val="en-GB"/>
        </w:rPr>
      </w:pPr>
      <w:r w:rsidRPr="00C86B44">
        <w:rPr>
          <w:lang w:val="en-GB"/>
        </w:rPr>
        <w:t xml:space="preserve">The IARP revision will foresee a lighter coordination structure and shelter/NFIs as a priority for the next 6 months since the day it enters into force. It is also crucial to phase out responsibly in the course of action towards the end of this IARP in order to avoid dependency syndrome. </w:t>
      </w:r>
    </w:p>
    <w:p w14:paraId="73E29D0B" w14:textId="77777777" w:rsidR="00C86B44" w:rsidRDefault="00C86B44" w:rsidP="00A3781F">
      <w:pPr>
        <w:pStyle w:val="ListParagraph"/>
        <w:numPr>
          <w:ilvl w:val="0"/>
          <w:numId w:val="13"/>
        </w:numPr>
        <w:spacing w:after="0"/>
        <w:rPr>
          <w:lang w:val="en-GB"/>
        </w:rPr>
      </w:pPr>
      <w:r w:rsidRPr="00C86B44">
        <w:rPr>
          <w:lang w:val="en-GB"/>
        </w:rPr>
        <w:t>Some of the studies/researches were taken into account when planning the extension, namely studies conducted by Food Security and Nutrition WG’s study, REACH MSNA, etc</w:t>
      </w:r>
    </w:p>
    <w:p w14:paraId="5F15E434" w14:textId="77777777" w:rsidR="005B0C6D" w:rsidRDefault="005B0C6D" w:rsidP="00C25A8A">
      <w:pPr>
        <w:spacing w:after="0"/>
        <w:jc w:val="both"/>
        <w:rPr>
          <w:b/>
          <w:bCs/>
          <w:lang w:val="en-GB"/>
        </w:rPr>
      </w:pPr>
    </w:p>
    <w:p w14:paraId="3A5CD334" w14:textId="7946DCFC" w:rsidR="00E46AFB" w:rsidRDefault="005C6B11" w:rsidP="00C25A8A">
      <w:pPr>
        <w:spacing w:after="0"/>
        <w:jc w:val="both"/>
        <w:rPr>
          <w:b/>
          <w:bCs/>
          <w:lang w:val="en-GB"/>
        </w:rPr>
      </w:pPr>
      <w:r w:rsidRPr="00EF4F22">
        <w:rPr>
          <w:b/>
          <w:bCs/>
          <w:lang w:val="en-GB"/>
        </w:rPr>
        <w:t xml:space="preserve">4. </w:t>
      </w:r>
      <w:r w:rsidR="00C86B44" w:rsidRPr="00C86B44">
        <w:rPr>
          <w:b/>
          <w:bCs/>
          <w:lang w:val="en-GB"/>
        </w:rPr>
        <w:t>Agency Updates</w:t>
      </w:r>
    </w:p>
    <w:p w14:paraId="74193AD6" w14:textId="77777777" w:rsidR="005B0C6D" w:rsidRPr="00EF4F22" w:rsidRDefault="005B0C6D" w:rsidP="00C25A8A">
      <w:pPr>
        <w:spacing w:after="0"/>
        <w:jc w:val="both"/>
        <w:rPr>
          <w:b/>
          <w:bCs/>
          <w:lang w:val="en-GB"/>
        </w:rPr>
      </w:pPr>
    </w:p>
    <w:p w14:paraId="14B23233" w14:textId="55BF1277" w:rsidR="00A3781F" w:rsidRPr="00EF4F22" w:rsidRDefault="00C86B44" w:rsidP="00A3781F">
      <w:pPr>
        <w:pStyle w:val="ListParagraph"/>
        <w:numPr>
          <w:ilvl w:val="0"/>
          <w:numId w:val="5"/>
        </w:numPr>
        <w:spacing w:after="0"/>
        <w:jc w:val="both"/>
        <w:rPr>
          <w:lang w:val="en-GB"/>
        </w:rPr>
      </w:pPr>
      <w:r>
        <w:rPr>
          <w:lang w:val="en-GB"/>
        </w:rPr>
        <w:t>No agency updates</w:t>
      </w:r>
    </w:p>
    <w:p w14:paraId="02B2C0A8" w14:textId="77777777" w:rsidR="002A35D0" w:rsidRPr="00EF4F22" w:rsidRDefault="002A35D0" w:rsidP="00C25A8A">
      <w:pPr>
        <w:spacing w:after="0"/>
        <w:jc w:val="both"/>
        <w:rPr>
          <w:b/>
          <w:bCs/>
          <w:lang w:val="en-GB"/>
        </w:rPr>
      </w:pPr>
    </w:p>
    <w:p w14:paraId="563A6A7E" w14:textId="77777777" w:rsidR="00CA1F72" w:rsidRPr="00EF4F22" w:rsidRDefault="00CA1F72" w:rsidP="00CA1F72">
      <w:pPr>
        <w:spacing w:after="0"/>
        <w:jc w:val="both"/>
        <w:rPr>
          <w:lang w:val="en-GB"/>
        </w:rPr>
      </w:pPr>
    </w:p>
    <w:p w14:paraId="1A144AA7" w14:textId="0C3ABC07" w:rsidR="00CA1F72" w:rsidRPr="00EF4F22" w:rsidRDefault="00C86B44" w:rsidP="00CA1F72">
      <w:pPr>
        <w:spacing w:after="0"/>
        <w:jc w:val="both"/>
        <w:rPr>
          <w:b/>
          <w:bCs/>
          <w:lang w:val="en-GB"/>
        </w:rPr>
      </w:pPr>
      <w:r>
        <w:rPr>
          <w:b/>
          <w:bCs/>
          <w:lang w:val="en-GB"/>
        </w:rPr>
        <w:t>5</w:t>
      </w:r>
      <w:r w:rsidR="00CA1F72" w:rsidRPr="00EF4F22">
        <w:rPr>
          <w:b/>
          <w:bCs/>
          <w:lang w:val="en-GB"/>
        </w:rPr>
        <w:t>. A.O.B</w:t>
      </w:r>
    </w:p>
    <w:p w14:paraId="5B791931" w14:textId="77777777" w:rsidR="00CA1F72" w:rsidRPr="00EF4F22" w:rsidRDefault="00CA1F72" w:rsidP="00CA1F72">
      <w:pPr>
        <w:spacing w:after="0"/>
        <w:jc w:val="both"/>
        <w:rPr>
          <w:b/>
          <w:bCs/>
          <w:lang w:val="en-GB"/>
        </w:rPr>
      </w:pPr>
    </w:p>
    <w:p w14:paraId="4DD65677" w14:textId="68446B73" w:rsidR="00C86B44" w:rsidRPr="00C86B44" w:rsidRDefault="00C86B44" w:rsidP="00C86B44">
      <w:pPr>
        <w:pStyle w:val="ListParagraph"/>
        <w:numPr>
          <w:ilvl w:val="0"/>
          <w:numId w:val="7"/>
        </w:numPr>
        <w:spacing w:after="0"/>
        <w:jc w:val="both"/>
        <w:rPr>
          <w:lang w:val="en-GB"/>
        </w:rPr>
      </w:pPr>
      <w:r w:rsidRPr="00C86B44">
        <w:rPr>
          <w:lang w:val="en-GB"/>
        </w:rPr>
        <w:t>UNICEF managed to hire the IM consultant</w:t>
      </w:r>
    </w:p>
    <w:p w14:paraId="32BFE979" w14:textId="5AA0DCD3" w:rsidR="00C86B44" w:rsidRPr="00C86B44" w:rsidRDefault="00C86B44" w:rsidP="00C86B44">
      <w:pPr>
        <w:pStyle w:val="ListParagraph"/>
        <w:numPr>
          <w:ilvl w:val="0"/>
          <w:numId w:val="7"/>
        </w:numPr>
        <w:spacing w:after="0"/>
        <w:jc w:val="both"/>
        <w:rPr>
          <w:lang w:val="en-GB"/>
        </w:rPr>
      </w:pPr>
      <w:r w:rsidRPr="00C86B44">
        <w:rPr>
          <w:lang w:val="en-GB"/>
        </w:rPr>
        <w:t>There is a P</w:t>
      </w:r>
      <w:r>
        <w:rPr>
          <w:lang w:val="en-GB"/>
        </w:rPr>
        <w:t xml:space="preserve">ost </w:t>
      </w:r>
      <w:r w:rsidRPr="00C86B44">
        <w:rPr>
          <w:lang w:val="en-GB"/>
        </w:rPr>
        <w:t>D</w:t>
      </w:r>
      <w:r>
        <w:rPr>
          <w:lang w:val="en-GB"/>
        </w:rPr>
        <w:t xml:space="preserve">istribution </w:t>
      </w:r>
      <w:r w:rsidRPr="00C86B44">
        <w:rPr>
          <w:lang w:val="en-GB"/>
        </w:rPr>
        <w:t>M</w:t>
      </w:r>
      <w:r>
        <w:rPr>
          <w:lang w:val="en-GB"/>
        </w:rPr>
        <w:t>onitoring</w:t>
      </w:r>
      <w:r w:rsidRPr="00C86B44">
        <w:rPr>
          <w:lang w:val="en-GB"/>
        </w:rPr>
        <w:t xml:space="preserve"> that is going to be finalized and some findings will be shared</w:t>
      </w:r>
    </w:p>
    <w:p w14:paraId="076CA36C" w14:textId="77777777" w:rsidR="00C86B44" w:rsidRPr="00C86B44" w:rsidRDefault="00C86B44" w:rsidP="00C86B44">
      <w:pPr>
        <w:pStyle w:val="ListParagraph"/>
        <w:numPr>
          <w:ilvl w:val="0"/>
          <w:numId w:val="7"/>
        </w:numPr>
        <w:spacing w:after="0"/>
        <w:jc w:val="both"/>
        <w:rPr>
          <w:lang w:val="en-GB"/>
        </w:rPr>
      </w:pPr>
      <w:r w:rsidRPr="00C86B44">
        <w:rPr>
          <w:lang w:val="en-GB"/>
        </w:rPr>
        <w:t>Evangeline McGlynn concludes her responsibilities with IMPACT and hands over the co-chairing role to Yurii Arnautov</w:t>
      </w:r>
    </w:p>
    <w:p w14:paraId="54BD4B8C" w14:textId="6DC61F41" w:rsidR="00CA1F72" w:rsidRPr="00C86B44" w:rsidRDefault="00CA1F72" w:rsidP="00C86B44">
      <w:pPr>
        <w:spacing w:after="0"/>
        <w:ind w:left="360"/>
        <w:jc w:val="both"/>
        <w:rPr>
          <w:lang w:val="en-GB"/>
        </w:rPr>
      </w:pPr>
    </w:p>
    <w:p w14:paraId="279DD97C" w14:textId="77777777" w:rsidR="00CA1F72" w:rsidRPr="00EF4F22" w:rsidRDefault="00CA1F72" w:rsidP="00CA1F72">
      <w:pPr>
        <w:spacing w:after="0"/>
        <w:jc w:val="both"/>
        <w:rPr>
          <w:lang w:val="en-GB"/>
        </w:rPr>
      </w:pPr>
    </w:p>
    <w:sectPr w:rsidR="00CA1F72" w:rsidRPr="00EF4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BCA"/>
    <w:multiLevelType w:val="hybridMultilevel"/>
    <w:tmpl w:val="A7308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8239F"/>
    <w:multiLevelType w:val="hybridMultilevel"/>
    <w:tmpl w:val="34622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846D906">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92077"/>
    <w:multiLevelType w:val="hybridMultilevel"/>
    <w:tmpl w:val="618CA62A"/>
    <w:lvl w:ilvl="0" w:tplc="0A64EF3E">
      <w:start w:val="1"/>
      <w:numFmt w:val="bullet"/>
      <w:lvlText w:val="•"/>
      <w:lvlJc w:val="left"/>
      <w:pPr>
        <w:tabs>
          <w:tab w:val="num" w:pos="720"/>
        </w:tabs>
        <w:ind w:left="720" w:hanging="360"/>
      </w:pPr>
      <w:rPr>
        <w:rFonts w:ascii="Arial" w:hAnsi="Arial" w:hint="default"/>
      </w:rPr>
    </w:lvl>
    <w:lvl w:ilvl="1" w:tplc="BE2E7EC6" w:tentative="1">
      <w:start w:val="1"/>
      <w:numFmt w:val="bullet"/>
      <w:lvlText w:val="•"/>
      <w:lvlJc w:val="left"/>
      <w:pPr>
        <w:tabs>
          <w:tab w:val="num" w:pos="1440"/>
        </w:tabs>
        <w:ind w:left="1440" w:hanging="360"/>
      </w:pPr>
      <w:rPr>
        <w:rFonts w:ascii="Arial" w:hAnsi="Arial" w:hint="default"/>
      </w:rPr>
    </w:lvl>
    <w:lvl w:ilvl="2" w:tplc="1360C532" w:tentative="1">
      <w:start w:val="1"/>
      <w:numFmt w:val="bullet"/>
      <w:lvlText w:val="•"/>
      <w:lvlJc w:val="left"/>
      <w:pPr>
        <w:tabs>
          <w:tab w:val="num" w:pos="2160"/>
        </w:tabs>
        <w:ind w:left="2160" w:hanging="360"/>
      </w:pPr>
      <w:rPr>
        <w:rFonts w:ascii="Arial" w:hAnsi="Arial" w:hint="default"/>
      </w:rPr>
    </w:lvl>
    <w:lvl w:ilvl="3" w:tplc="CBE6CDC0" w:tentative="1">
      <w:start w:val="1"/>
      <w:numFmt w:val="bullet"/>
      <w:lvlText w:val="•"/>
      <w:lvlJc w:val="left"/>
      <w:pPr>
        <w:tabs>
          <w:tab w:val="num" w:pos="2880"/>
        </w:tabs>
        <w:ind w:left="2880" w:hanging="360"/>
      </w:pPr>
      <w:rPr>
        <w:rFonts w:ascii="Arial" w:hAnsi="Arial" w:hint="default"/>
      </w:rPr>
    </w:lvl>
    <w:lvl w:ilvl="4" w:tplc="BFC0AC30" w:tentative="1">
      <w:start w:val="1"/>
      <w:numFmt w:val="bullet"/>
      <w:lvlText w:val="•"/>
      <w:lvlJc w:val="left"/>
      <w:pPr>
        <w:tabs>
          <w:tab w:val="num" w:pos="3600"/>
        </w:tabs>
        <w:ind w:left="3600" w:hanging="360"/>
      </w:pPr>
      <w:rPr>
        <w:rFonts w:ascii="Arial" w:hAnsi="Arial" w:hint="default"/>
      </w:rPr>
    </w:lvl>
    <w:lvl w:ilvl="5" w:tplc="3A4E215A" w:tentative="1">
      <w:start w:val="1"/>
      <w:numFmt w:val="bullet"/>
      <w:lvlText w:val="•"/>
      <w:lvlJc w:val="left"/>
      <w:pPr>
        <w:tabs>
          <w:tab w:val="num" w:pos="4320"/>
        </w:tabs>
        <w:ind w:left="4320" w:hanging="360"/>
      </w:pPr>
      <w:rPr>
        <w:rFonts w:ascii="Arial" w:hAnsi="Arial" w:hint="default"/>
      </w:rPr>
    </w:lvl>
    <w:lvl w:ilvl="6" w:tplc="F5DEDB92" w:tentative="1">
      <w:start w:val="1"/>
      <w:numFmt w:val="bullet"/>
      <w:lvlText w:val="•"/>
      <w:lvlJc w:val="left"/>
      <w:pPr>
        <w:tabs>
          <w:tab w:val="num" w:pos="5040"/>
        </w:tabs>
        <w:ind w:left="5040" w:hanging="360"/>
      </w:pPr>
      <w:rPr>
        <w:rFonts w:ascii="Arial" w:hAnsi="Arial" w:hint="default"/>
      </w:rPr>
    </w:lvl>
    <w:lvl w:ilvl="7" w:tplc="E9AADBFE" w:tentative="1">
      <w:start w:val="1"/>
      <w:numFmt w:val="bullet"/>
      <w:lvlText w:val="•"/>
      <w:lvlJc w:val="left"/>
      <w:pPr>
        <w:tabs>
          <w:tab w:val="num" w:pos="5760"/>
        </w:tabs>
        <w:ind w:left="5760" w:hanging="360"/>
      </w:pPr>
      <w:rPr>
        <w:rFonts w:ascii="Arial" w:hAnsi="Arial" w:hint="default"/>
      </w:rPr>
    </w:lvl>
    <w:lvl w:ilvl="8" w:tplc="38C67A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9D36F4"/>
    <w:multiLevelType w:val="hybridMultilevel"/>
    <w:tmpl w:val="A5FEA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536BE"/>
    <w:multiLevelType w:val="hybridMultilevel"/>
    <w:tmpl w:val="C51A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D170B"/>
    <w:multiLevelType w:val="hybridMultilevel"/>
    <w:tmpl w:val="6E7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B3C3E"/>
    <w:multiLevelType w:val="hybridMultilevel"/>
    <w:tmpl w:val="CCAC8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45A3B"/>
    <w:multiLevelType w:val="hybridMultilevel"/>
    <w:tmpl w:val="A1DC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57979"/>
    <w:multiLevelType w:val="hybridMultilevel"/>
    <w:tmpl w:val="CC24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737A3"/>
    <w:multiLevelType w:val="hybridMultilevel"/>
    <w:tmpl w:val="4624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021F9"/>
    <w:multiLevelType w:val="hybridMultilevel"/>
    <w:tmpl w:val="FBC69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84F9F"/>
    <w:multiLevelType w:val="hybridMultilevel"/>
    <w:tmpl w:val="928A3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A5E13"/>
    <w:multiLevelType w:val="hybridMultilevel"/>
    <w:tmpl w:val="9A1E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A5807"/>
    <w:multiLevelType w:val="hybridMultilevel"/>
    <w:tmpl w:val="8F7A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931DF"/>
    <w:multiLevelType w:val="hybridMultilevel"/>
    <w:tmpl w:val="0428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10"/>
  </w:num>
  <w:num w:numId="5">
    <w:abstractNumId w:val="3"/>
  </w:num>
  <w:num w:numId="6">
    <w:abstractNumId w:val="11"/>
  </w:num>
  <w:num w:numId="7">
    <w:abstractNumId w:val="0"/>
  </w:num>
  <w:num w:numId="8">
    <w:abstractNumId w:val="14"/>
  </w:num>
  <w:num w:numId="9">
    <w:abstractNumId w:val="12"/>
  </w:num>
  <w:num w:numId="10">
    <w:abstractNumId w:val="6"/>
  </w:num>
  <w:num w:numId="11">
    <w:abstractNumId w:val="2"/>
  </w:num>
  <w:num w:numId="12">
    <w:abstractNumId w:val="9"/>
  </w:num>
  <w:num w:numId="13">
    <w:abstractNumId w:val="7"/>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05"/>
    <w:rsid w:val="00003AD2"/>
    <w:rsid w:val="00103549"/>
    <w:rsid w:val="0016576C"/>
    <w:rsid w:val="00180BCE"/>
    <w:rsid w:val="00181DE7"/>
    <w:rsid w:val="001824F6"/>
    <w:rsid w:val="001B0784"/>
    <w:rsid w:val="001F4851"/>
    <w:rsid w:val="002027A6"/>
    <w:rsid w:val="00207D33"/>
    <w:rsid w:val="00226432"/>
    <w:rsid w:val="002A35D0"/>
    <w:rsid w:val="002A7305"/>
    <w:rsid w:val="002A7865"/>
    <w:rsid w:val="002F198A"/>
    <w:rsid w:val="0030735C"/>
    <w:rsid w:val="003C7FD0"/>
    <w:rsid w:val="003E011C"/>
    <w:rsid w:val="0042519C"/>
    <w:rsid w:val="00431C17"/>
    <w:rsid w:val="00441859"/>
    <w:rsid w:val="004C7E49"/>
    <w:rsid w:val="00504198"/>
    <w:rsid w:val="00531277"/>
    <w:rsid w:val="00557A30"/>
    <w:rsid w:val="00594895"/>
    <w:rsid w:val="005B0C6D"/>
    <w:rsid w:val="005C6B11"/>
    <w:rsid w:val="005D1504"/>
    <w:rsid w:val="005E22FD"/>
    <w:rsid w:val="0061528C"/>
    <w:rsid w:val="006474F0"/>
    <w:rsid w:val="00673ADE"/>
    <w:rsid w:val="006C630A"/>
    <w:rsid w:val="00702D43"/>
    <w:rsid w:val="007038AA"/>
    <w:rsid w:val="007630AC"/>
    <w:rsid w:val="007C3328"/>
    <w:rsid w:val="007D5F46"/>
    <w:rsid w:val="007E0A8C"/>
    <w:rsid w:val="007E1164"/>
    <w:rsid w:val="0080053F"/>
    <w:rsid w:val="00805246"/>
    <w:rsid w:val="00805C8F"/>
    <w:rsid w:val="00855685"/>
    <w:rsid w:val="008778BF"/>
    <w:rsid w:val="00897C37"/>
    <w:rsid w:val="008B3E24"/>
    <w:rsid w:val="008C0D08"/>
    <w:rsid w:val="008E4FA8"/>
    <w:rsid w:val="00905A98"/>
    <w:rsid w:val="009E63F2"/>
    <w:rsid w:val="00A07067"/>
    <w:rsid w:val="00A3781F"/>
    <w:rsid w:val="00A4239E"/>
    <w:rsid w:val="00A60516"/>
    <w:rsid w:val="00AD5E2F"/>
    <w:rsid w:val="00AE2861"/>
    <w:rsid w:val="00AF2C5C"/>
    <w:rsid w:val="00B169DA"/>
    <w:rsid w:val="00B628B4"/>
    <w:rsid w:val="00BA4093"/>
    <w:rsid w:val="00BC7AE8"/>
    <w:rsid w:val="00C25A8A"/>
    <w:rsid w:val="00C751FA"/>
    <w:rsid w:val="00C86B44"/>
    <w:rsid w:val="00CA1F72"/>
    <w:rsid w:val="00CB24AF"/>
    <w:rsid w:val="00CB75A2"/>
    <w:rsid w:val="00CF0C0F"/>
    <w:rsid w:val="00CF15C4"/>
    <w:rsid w:val="00D000CE"/>
    <w:rsid w:val="00D51408"/>
    <w:rsid w:val="00D621C3"/>
    <w:rsid w:val="00D754C7"/>
    <w:rsid w:val="00D84E8B"/>
    <w:rsid w:val="00D94314"/>
    <w:rsid w:val="00DA4980"/>
    <w:rsid w:val="00DB1AAC"/>
    <w:rsid w:val="00DC2F37"/>
    <w:rsid w:val="00DC47D2"/>
    <w:rsid w:val="00DF507D"/>
    <w:rsid w:val="00E137B7"/>
    <w:rsid w:val="00E169E7"/>
    <w:rsid w:val="00E46AFB"/>
    <w:rsid w:val="00E579F8"/>
    <w:rsid w:val="00EA1229"/>
    <w:rsid w:val="00EF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94F2"/>
  <w15:chartTrackingRefBased/>
  <w15:docId w15:val="{23B5CAA5-843B-4A69-8615-7473040A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305"/>
    <w:pPr>
      <w:ind w:left="720"/>
      <w:contextualSpacing/>
    </w:pPr>
  </w:style>
  <w:style w:type="table" w:styleId="PlainTable5">
    <w:name w:val="Plain Table 5"/>
    <w:basedOn w:val="TableNormal"/>
    <w:uiPriority w:val="45"/>
    <w:rsid w:val="002A730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16576C"/>
    <w:rPr>
      <w:color w:val="0563C1" w:themeColor="hyperlink"/>
      <w:u w:val="single"/>
    </w:rPr>
  </w:style>
  <w:style w:type="character" w:styleId="UnresolvedMention">
    <w:name w:val="Unresolved Mention"/>
    <w:basedOn w:val="DefaultParagraphFont"/>
    <w:uiPriority w:val="99"/>
    <w:semiHidden/>
    <w:unhideWhenUsed/>
    <w:rsid w:val="0016576C"/>
    <w:rPr>
      <w:color w:val="605E5C"/>
      <w:shd w:val="clear" w:color="auto" w:fill="E1DFDD"/>
    </w:rPr>
  </w:style>
  <w:style w:type="character" w:styleId="FollowedHyperlink">
    <w:name w:val="FollowedHyperlink"/>
    <w:basedOn w:val="DefaultParagraphFont"/>
    <w:uiPriority w:val="99"/>
    <w:semiHidden/>
    <w:unhideWhenUsed/>
    <w:rsid w:val="00AD5E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60892">
      <w:bodyDiv w:val="1"/>
      <w:marLeft w:val="0"/>
      <w:marRight w:val="0"/>
      <w:marTop w:val="0"/>
      <w:marBottom w:val="0"/>
      <w:divBdr>
        <w:top w:val="none" w:sz="0" w:space="0" w:color="auto"/>
        <w:left w:val="none" w:sz="0" w:space="0" w:color="auto"/>
        <w:bottom w:val="none" w:sz="0" w:space="0" w:color="auto"/>
        <w:right w:val="none" w:sz="0" w:space="0" w:color="auto"/>
      </w:divBdr>
    </w:div>
    <w:div w:id="572475733">
      <w:bodyDiv w:val="1"/>
      <w:marLeft w:val="0"/>
      <w:marRight w:val="0"/>
      <w:marTop w:val="0"/>
      <w:marBottom w:val="0"/>
      <w:divBdr>
        <w:top w:val="none" w:sz="0" w:space="0" w:color="auto"/>
        <w:left w:val="none" w:sz="0" w:space="0" w:color="auto"/>
        <w:bottom w:val="none" w:sz="0" w:space="0" w:color="auto"/>
        <w:right w:val="none" w:sz="0" w:space="0" w:color="auto"/>
      </w:divBdr>
    </w:div>
    <w:div w:id="894779553">
      <w:bodyDiv w:val="1"/>
      <w:marLeft w:val="0"/>
      <w:marRight w:val="0"/>
      <w:marTop w:val="0"/>
      <w:marBottom w:val="0"/>
      <w:divBdr>
        <w:top w:val="none" w:sz="0" w:space="0" w:color="auto"/>
        <w:left w:val="none" w:sz="0" w:space="0" w:color="auto"/>
        <w:bottom w:val="none" w:sz="0" w:space="0" w:color="auto"/>
        <w:right w:val="none" w:sz="0" w:space="0" w:color="auto"/>
      </w:divBdr>
    </w:div>
    <w:div w:id="918519443">
      <w:bodyDiv w:val="1"/>
      <w:marLeft w:val="0"/>
      <w:marRight w:val="0"/>
      <w:marTop w:val="0"/>
      <w:marBottom w:val="0"/>
      <w:divBdr>
        <w:top w:val="none" w:sz="0" w:space="0" w:color="auto"/>
        <w:left w:val="none" w:sz="0" w:space="0" w:color="auto"/>
        <w:bottom w:val="none" w:sz="0" w:space="0" w:color="auto"/>
        <w:right w:val="none" w:sz="0" w:space="0" w:color="auto"/>
      </w:divBdr>
    </w:div>
    <w:div w:id="1122580133">
      <w:bodyDiv w:val="1"/>
      <w:marLeft w:val="0"/>
      <w:marRight w:val="0"/>
      <w:marTop w:val="0"/>
      <w:marBottom w:val="0"/>
      <w:divBdr>
        <w:top w:val="none" w:sz="0" w:space="0" w:color="auto"/>
        <w:left w:val="none" w:sz="0" w:space="0" w:color="auto"/>
        <w:bottom w:val="none" w:sz="0" w:space="0" w:color="auto"/>
        <w:right w:val="none" w:sz="0" w:space="0" w:color="auto"/>
      </w:divBdr>
    </w:div>
    <w:div w:id="1226574300">
      <w:bodyDiv w:val="1"/>
      <w:marLeft w:val="0"/>
      <w:marRight w:val="0"/>
      <w:marTop w:val="0"/>
      <w:marBottom w:val="0"/>
      <w:divBdr>
        <w:top w:val="none" w:sz="0" w:space="0" w:color="auto"/>
        <w:left w:val="none" w:sz="0" w:space="0" w:color="auto"/>
        <w:bottom w:val="none" w:sz="0" w:space="0" w:color="auto"/>
        <w:right w:val="none" w:sz="0" w:space="0" w:color="auto"/>
      </w:divBdr>
      <w:divsChild>
        <w:div w:id="170612057">
          <w:marLeft w:val="0"/>
          <w:marRight w:val="0"/>
          <w:marTop w:val="0"/>
          <w:marBottom w:val="0"/>
          <w:divBdr>
            <w:top w:val="none" w:sz="0" w:space="0" w:color="auto"/>
            <w:left w:val="none" w:sz="0" w:space="0" w:color="auto"/>
            <w:bottom w:val="none" w:sz="0" w:space="0" w:color="auto"/>
            <w:right w:val="none" w:sz="0" w:space="0" w:color="auto"/>
          </w:divBdr>
          <w:divsChild>
            <w:div w:id="1227300586">
              <w:marLeft w:val="0"/>
              <w:marRight w:val="0"/>
              <w:marTop w:val="0"/>
              <w:marBottom w:val="0"/>
              <w:divBdr>
                <w:top w:val="none" w:sz="0" w:space="0" w:color="auto"/>
                <w:left w:val="none" w:sz="0" w:space="0" w:color="auto"/>
                <w:bottom w:val="none" w:sz="0" w:space="0" w:color="auto"/>
                <w:right w:val="none" w:sz="0" w:space="0" w:color="auto"/>
              </w:divBdr>
              <w:divsChild>
                <w:div w:id="1619990944">
                  <w:marLeft w:val="0"/>
                  <w:marRight w:val="0"/>
                  <w:marTop w:val="0"/>
                  <w:marBottom w:val="0"/>
                  <w:divBdr>
                    <w:top w:val="none" w:sz="0" w:space="0" w:color="auto"/>
                    <w:left w:val="none" w:sz="0" w:space="0" w:color="auto"/>
                    <w:bottom w:val="none" w:sz="0" w:space="0" w:color="auto"/>
                    <w:right w:val="none" w:sz="0" w:space="0" w:color="auto"/>
                  </w:divBdr>
                  <w:divsChild>
                    <w:div w:id="1260603216">
                      <w:marLeft w:val="0"/>
                      <w:marRight w:val="0"/>
                      <w:marTop w:val="0"/>
                      <w:marBottom w:val="0"/>
                      <w:divBdr>
                        <w:top w:val="none" w:sz="0" w:space="0" w:color="auto"/>
                        <w:left w:val="none" w:sz="0" w:space="0" w:color="auto"/>
                        <w:bottom w:val="none" w:sz="0" w:space="0" w:color="auto"/>
                        <w:right w:val="none" w:sz="0" w:space="0" w:color="auto"/>
                      </w:divBdr>
                      <w:divsChild>
                        <w:div w:id="489179033">
                          <w:marLeft w:val="0"/>
                          <w:marRight w:val="0"/>
                          <w:marTop w:val="0"/>
                          <w:marBottom w:val="0"/>
                          <w:divBdr>
                            <w:top w:val="none" w:sz="0" w:space="0" w:color="auto"/>
                            <w:left w:val="none" w:sz="0" w:space="0" w:color="auto"/>
                            <w:bottom w:val="none" w:sz="0" w:space="0" w:color="auto"/>
                            <w:right w:val="none" w:sz="0" w:space="0" w:color="auto"/>
                          </w:divBdr>
                          <w:divsChild>
                            <w:div w:id="710689637">
                              <w:marLeft w:val="0"/>
                              <w:marRight w:val="0"/>
                              <w:marTop w:val="0"/>
                              <w:marBottom w:val="0"/>
                              <w:divBdr>
                                <w:top w:val="none" w:sz="0" w:space="0" w:color="auto"/>
                                <w:left w:val="none" w:sz="0" w:space="0" w:color="auto"/>
                                <w:bottom w:val="none" w:sz="0" w:space="0" w:color="auto"/>
                                <w:right w:val="none" w:sz="0" w:space="0" w:color="auto"/>
                              </w:divBdr>
                              <w:divsChild>
                                <w:div w:id="118380488">
                                  <w:marLeft w:val="0"/>
                                  <w:marRight w:val="0"/>
                                  <w:marTop w:val="0"/>
                                  <w:marBottom w:val="0"/>
                                  <w:divBdr>
                                    <w:top w:val="none" w:sz="0" w:space="0" w:color="auto"/>
                                    <w:left w:val="none" w:sz="0" w:space="0" w:color="auto"/>
                                    <w:bottom w:val="none" w:sz="0" w:space="0" w:color="auto"/>
                                    <w:right w:val="none" w:sz="0" w:space="0" w:color="auto"/>
                                  </w:divBdr>
                                  <w:divsChild>
                                    <w:div w:id="9776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08926">
      <w:bodyDiv w:val="1"/>
      <w:marLeft w:val="0"/>
      <w:marRight w:val="0"/>
      <w:marTop w:val="0"/>
      <w:marBottom w:val="0"/>
      <w:divBdr>
        <w:top w:val="none" w:sz="0" w:space="0" w:color="auto"/>
        <w:left w:val="none" w:sz="0" w:space="0" w:color="auto"/>
        <w:bottom w:val="none" w:sz="0" w:space="0" w:color="auto"/>
        <w:right w:val="none" w:sz="0" w:space="0" w:color="auto"/>
      </w:divBdr>
    </w:div>
    <w:div w:id="1716849785">
      <w:bodyDiv w:val="1"/>
      <w:marLeft w:val="0"/>
      <w:marRight w:val="0"/>
      <w:marTop w:val="0"/>
      <w:marBottom w:val="0"/>
      <w:divBdr>
        <w:top w:val="none" w:sz="0" w:space="0" w:color="auto"/>
        <w:left w:val="none" w:sz="0" w:space="0" w:color="auto"/>
        <w:bottom w:val="none" w:sz="0" w:space="0" w:color="auto"/>
        <w:right w:val="none" w:sz="0" w:space="0" w:color="auto"/>
      </w:divBdr>
    </w:div>
    <w:div w:id="1735543163">
      <w:bodyDiv w:val="1"/>
      <w:marLeft w:val="0"/>
      <w:marRight w:val="0"/>
      <w:marTop w:val="0"/>
      <w:marBottom w:val="0"/>
      <w:divBdr>
        <w:top w:val="none" w:sz="0" w:space="0" w:color="auto"/>
        <w:left w:val="none" w:sz="0" w:space="0" w:color="auto"/>
        <w:bottom w:val="none" w:sz="0" w:space="0" w:color="auto"/>
        <w:right w:val="none" w:sz="0" w:space="0" w:color="auto"/>
      </w:divBdr>
    </w:div>
    <w:div w:id="1998877666">
      <w:bodyDiv w:val="1"/>
      <w:marLeft w:val="0"/>
      <w:marRight w:val="0"/>
      <w:marTop w:val="0"/>
      <w:marBottom w:val="0"/>
      <w:divBdr>
        <w:top w:val="none" w:sz="0" w:space="0" w:color="auto"/>
        <w:left w:val="none" w:sz="0" w:space="0" w:color="auto"/>
        <w:bottom w:val="none" w:sz="0" w:space="0" w:color="auto"/>
        <w:right w:val="none" w:sz="0" w:space="0" w:color="auto"/>
      </w:divBdr>
    </w:div>
    <w:div w:id="19991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ta2.unhcr.org/en/working-group/270?sv=0&amp;geo=581&amp;secret=unhcrrestrict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41299-A57A-4729-A296-0A2489EF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M</dc:creator>
  <cp:keywords/>
  <dc:description/>
  <cp:lastModifiedBy>Milindi Illangasinghe</cp:lastModifiedBy>
  <cp:revision>3</cp:revision>
  <dcterms:created xsi:type="dcterms:W3CDTF">2021-07-27T12:09:00Z</dcterms:created>
  <dcterms:modified xsi:type="dcterms:W3CDTF">2021-07-28T11:24:00Z</dcterms:modified>
</cp:coreProperties>
</file>