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80"/>
        <w:tblW w:w="10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07"/>
        <w:gridCol w:w="3256"/>
        <w:gridCol w:w="1071"/>
        <w:gridCol w:w="947"/>
        <w:gridCol w:w="696"/>
        <w:gridCol w:w="1166"/>
        <w:gridCol w:w="758"/>
        <w:gridCol w:w="553"/>
        <w:gridCol w:w="567"/>
        <w:gridCol w:w="899"/>
      </w:tblGrid>
      <w:tr w:rsidR="00E40449" w:rsidRPr="00941044" w:rsidTr="008B4B54">
        <w:trPr>
          <w:trHeight w:val="369"/>
        </w:trPr>
        <w:tc>
          <w:tcPr>
            <w:tcW w:w="1007" w:type="dxa"/>
            <w:vMerge w:val="restart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A21DDB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Indicator  type</w:t>
            </w:r>
          </w:p>
        </w:tc>
        <w:tc>
          <w:tcPr>
            <w:tcW w:w="3256" w:type="dxa"/>
            <w:vMerge w:val="restart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A21DDB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Indicator name</w:t>
            </w:r>
          </w:p>
        </w:tc>
        <w:tc>
          <w:tcPr>
            <w:tcW w:w="5758" w:type="dxa"/>
            <w:gridSpan w:val="7"/>
            <w:shd w:val="clear" w:color="auto" w:fill="F2F2F2"/>
            <w:hideMark/>
          </w:tcPr>
          <w:p w:rsidR="00E40449" w:rsidRPr="00941044" w:rsidRDefault="00E40449" w:rsidP="00A21DDB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99" w:type="dxa"/>
            <w:vMerge w:val="restart"/>
            <w:shd w:val="clear" w:color="auto" w:fill="F2F2F2"/>
            <w:hideMark/>
          </w:tcPr>
          <w:p w:rsidR="00E40449" w:rsidRPr="00941044" w:rsidRDefault="00E40449" w:rsidP="00A21DDB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Frequency of data collection</w:t>
            </w:r>
          </w:p>
        </w:tc>
      </w:tr>
      <w:tr w:rsidR="00E40449" w:rsidRPr="00941044" w:rsidTr="00E40449">
        <w:trPr>
          <w:trHeight w:val="247"/>
        </w:trPr>
        <w:tc>
          <w:tcPr>
            <w:tcW w:w="1007" w:type="dxa"/>
            <w:vMerge/>
            <w:vAlign w:val="center"/>
            <w:hideMark/>
          </w:tcPr>
          <w:p w:rsidR="00E40449" w:rsidRPr="00941044" w:rsidRDefault="00E40449" w:rsidP="00E40449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0449" w:rsidRPr="00941044" w:rsidRDefault="00E40449" w:rsidP="00E40449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1071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947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  <w:lang w:bidi="ar-JO"/>
              </w:rPr>
              <w:t>2006</w:t>
            </w:r>
          </w:p>
        </w:tc>
        <w:tc>
          <w:tcPr>
            <w:tcW w:w="69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16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58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553" w:type="dxa"/>
            <w:shd w:val="clear" w:color="auto" w:fill="F2F2F2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567" w:type="dxa"/>
            <w:shd w:val="clear" w:color="auto" w:fill="F2F2F2"/>
            <w:hideMark/>
          </w:tcPr>
          <w:p w:rsidR="00E40449" w:rsidRPr="00E40449" w:rsidRDefault="00E40449" w:rsidP="00E4044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0449">
              <w:rPr>
                <w:rFonts w:eastAsia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vMerge/>
            <w:vAlign w:val="center"/>
            <w:hideMark/>
          </w:tcPr>
          <w:p w:rsidR="00E40449" w:rsidRPr="00941044" w:rsidRDefault="00E40449" w:rsidP="00E40449">
            <w:pPr>
              <w:bidi w:val="0"/>
              <w:rPr>
                <w:rFonts w:eastAsia="Times New Roman" w:cs="Times New Roman"/>
              </w:rPr>
            </w:pPr>
          </w:p>
        </w:tc>
      </w:tr>
      <w:tr w:rsidR="00E40449" w:rsidRPr="00941044" w:rsidTr="00831E2F">
        <w:trPr>
          <w:trHeight w:val="327"/>
        </w:trPr>
        <w:tc>
          <w:tcPr>
            <w:tcW w:w="1007" w:type="dxa"/>
            <w:vMerge w:val="restart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40449" w:rsidRPr="001A09E9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A34E83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Total 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p</w:t>
            </w:r>
            <w:r w:rsidRPr="00A34E83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opulation (000) </w:t>
            </w:r>
          </w:p>
        </w:tc>
        <w:tc>
          <w:tcPr>
            <w:tcW w:w="1071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5</w:t>
            </w: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350</w:t>
            </w:r>
          </w:p>
        </w:tc>
        <w:tc>
          <w:tcPr>
            <w:tcW w:w="947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5600</w:t>
            </w:r>
          </w:p>
        </w:tc>
        <w:tc>
          <w:tcPr>
            <w:tcW w:w="69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5850</w:t>
            </w:r>
          </w:p>
        </w:tc>
        <w:tc>
          <w:tcPr>
            <w:tcW w:w="116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 xml:space="preserve">6113 </w:t>
            </w:r>
          </w:p>
        </w:tc>
        <w:tc>
          <w:tcPr>
            <w:tcW w:w="75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6</w:t>
            </w: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249</w:t>
            </w: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 xml:space="preserve"> </w:t>
            </w:r>
          </w:p>
        </w:tc>
        <w:tc>
          <w:tcPr>
            <w:tcW w:w="553" w:type="dxa"/>
            <w:vAlign w:val="center"/>
            <w:hideMark/>
          </w:tcPr>
          <w:p w:rsidR="00E40449" w:rsidRPr="00831E2F" w:rsidRDefault="00E40449" w:rsidP="000E27DE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831E2F">
              <w:rPr>
                <w:rFonts w:eastAsia="Times New Roman" w:cs="Simplified Arabic"/>
                <w:sz w:val="16"/>
                <w:szCs w:val="16"/>
                <w:lang w:bidi="ar-JO"/>
              </w:rPr>
              <w:t> </w:t>
            </w:r>
            <w:r w:rsidR="00831E2F" w:rsidRPr="00831E2F">
              <w:rPr>
                <w:rFonts w:eastAsia="Times New Roman" w:cs="Times New Roman"/>
                <w:sz w:val="16"/>
                <w:szCs w:val="16"/>
              </w:rPr>
              <w:t>6388</w:t>
            </w:r>
          </w:p>
        </w:tc>
        <w:tc>
          <w:tcPr>
            <w:tcW w:w="567" w:type="dxa"/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</w:tr>
      <w:tr w:rsidR="00E40449" w:rsidRPr="00941044" w:rsidTr="00E45074">
        <w:trPr>
          <w:trHeight w:val="327"/>
        </w:trPr>
        <w:tc>
          <w:tcPr>
            <w:tcW w:w="1007" w:type="dxa"/>
            <w:vMerge/>
            <w:vAlign w:val="center"/>
            <w:hideMark/>
          </w:tcPr>
          <w:p w:rsidR="00E40449" w:rsidRPr="00941044" w:rsidRDefault="00E40449" w:rsidP="00E40449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40449" w:rsidRPr="001A09E9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4E5A0E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Population 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d</w:t>
            </w:r>
            <w:r w:rsidRPr="004E5A0E">
              <w:rPr>
                <w:rFonts w:eastAsia="Times New Roman" w:cs="Simplified Arabic"/>
                <w:b/>
                <w:bCs/>
                <w:sz w:val="16"/>
                <w:szCs w:val="16"/>
              </w:rPr>
              <w:t>ensity (person/km2)</w:t>
            </w:r>
            <w:r w:rsidRPr="004E5A0E">
              <w:rPr>
                <w:rFonts w:eastAsia="Times New Roman" w:cs="Times New Roman"/>
                <w:b/>
                <w:bCs/>
                <w:sz w:val="16"/>
                <w:szCs w:val="16"/>
                <w:lang w:bidi="ar-JO"/>
              </w:rPr>
              <w:t xml:space="preserve"> </w:t>
            </w:r>
          </w:p>
        </w:tc>
        <w:tc>
          <w:tcPr>
            <w:tcW w:w="1071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60.3</w:t>
            </w:r>
          </w:p>
        </w:tc>
        <w:tc>
          <w:tcPr>
            <w:tcW w:w="947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63.1</w:t>
            </w:r>
          </w:p>
        </w:tc>
        <w:tc>
          <w:tcPr>
            <w:tcW w:w="69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65.9</w:t>
            </w:r>
          </w:p>
        </w:tc>
        <w:tc>
          <w:tcPr>
            <w:tcW w:w="116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68.8</w:t>
            </w:r>
          </w:p>
        </w:tc>
        <w:tc>
          <w:tcPr>
            <w:tcW w:w="75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70.4</w:t>
            </w:r>
          </w:p>
        </w:tc>
        <w:tc>
          <w:tcPr>
            <w:tcW w:w="553" w:type="dxa"/>
            <w:vAlign w:val="center"/>
            <w:hideMark/>
          </w:tcPr>
          <w:p w:rsidR="00E40449" w:rsidRPr="00E45074" w:rsidRDefault="00E40449" w:rsidP="000E27DE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45074">
              <w:rPr>
                <w:rFonts w:eastAsia="Times New Roman" w:cs="Simplified Arabic"/>
                <w:sz w:val="16"/>
                <w:szCs w:val="16"/>
                <w:lang w:bidi="ar-JO"/>
              </w:rPr>
              <w:t> </w:t>
            </w:r>
            <w:r w:rsidR="00E45074" w:rsidRPr="00E45074">
              <w:rPr>
                <w:rFonts w:eastAsia="Times New Roman" w:cs="Times New Roman"/>
                <w:sz w:val="16"/>
                <w:szCs w:val="16"/>
              </w:rPr>
              <w:t>71.9</w:t>
            </w:r>
          </w:p>
        </w:tc>
        <w:tc>
          <w:tcPr>
            <w:tcW w:w="567" w:type="dxa"/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</w:tr>
      <w:tr w:rsidR="00E40449" w:rsidRPr="00941044" w:rsidTr="00252719">
        <w:trPr>
          <w:trHeight w:val="327"/>
        </w:trPr>
        <w:tc>
          <w:tcPr>
            <w:tcW w:w="1007" w:type="dxa"/>
            <w:vMerge/>
            <w:vAlign w:val="center"/>
            <w:hideMark/>
          </w:tcPr>
          <w:p w:rsidR="00E40449" w:rsidRPr="00941044" w:rsidRDefault="00E40449" w:rsidP="00E40449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40449" w:rsidRPr="001A09E9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24486E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Urban 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p</w:t>
            </w:r>
            <w:r w:rsidRPr="0024486E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opulation (%) </w:t>
            </w:r>
          </w:p>
        </w:tc>
        <w:tc>
          <w:tcPr>
            <w:tcW w:w="1071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82.3</w:t>
            </w:r>
          </w:p>
        </w:tc>
        <w:tc>
          <w:tcPr>
            <w:tcW w:w="947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82.6</w:t>
            </w:r>
          </w:p>
        </w:tc>
        <w:tc>
          <w:tcPr>
            <w:tcW w:w="69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82.6</w:t>
            </w:r>
          </w:p>
        </w:tc>
        <w:tc>
          <w:tcPr>
            <w:tcW w:w="116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82.6</w:t>
            </w:r>
          </w:p>
        </w:tc>
        <w:tc>
          <w:tcPr>
            <w:tcW w:w="75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82.6</w:t>
            </w:r>
          </w:p>
        </w:tc>
        <w:tc>
          <w:tcPr>
            <w:tcW w:w="553" w:type="dxa"/>
            <w:vAlign w:val="center"/>
            <w:hideMark/>
          </w:tcPr>
          <w:p w:rsidR="00E40449" w:rsidRPr="00E45074" w:rsidRDefault="00E40449" w:rsidP="000E27DE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45074">
              <w:rPr>
                <w:rFonts w:eastAsia="Times New Roman" w:cs="Simplified Arabic"/>
                <w:sz w:val="16"/>
                <w:szCs w:val="16"/>
                <w:lang w:bidi="ar-JO"/>
              </w:rPr>
              <w:t> </w:t>
            </w:r>
            <w:r w:rsidR="00252719">
              <w:rPr>
                <w:rFonts w:eastAsia="Times New Roman" w:cs="Times New Roman"/>
                <w:sz w:val="16"/>
                <w:szCs w:val="16"/>
              </w:rPr>
              <w:t>82.6</w:t>
            </w:r>
          </w:p>
        </w:tc>
        <w:tc>
          <w:tcPr>
            <w:tcW w:w="567" w:type="dxa"/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</w:tr>
      <w:tr w:rsidR="00E40449" w:rsidRPr="00941044" w:rsidTr="00252719">
        <w:trPr>
          <w:trHeight w:val="327"/>
        </w:trPr>
        <w:tc>
          <w:tcPr>
            <w:tcW w:w="1007" w:type="dxa"/>
            <w:vMerge/>
            <w:vAlign w:val="center"/>
            <w:hideMark/>
          </w:tcPr>
          <w:p w:rsidR="00E40449" w:rsidRPr="00941044" w:rsidRDefault="00E40449" w:rsidP="00E40449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40449" w:rsidRPr="001A09E9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0C0284">
              <w:rPr>
                <w:rFonts w:eastAsia="Times New Roman" w:cs="Simplified Arabic"/>
                <w:b/>
                <w:bCs/>
                <w:sz w:val="16"/>
                <w:szCs w:val="16"/>
              </w:rPr>
              <w:t>Population growth rate</w:t>
            </w:r>
            <w:r w:rsidRPr="000C0284">
              <w:rPr>
                <w:rFonts w:eastAsia="Times New Roman" w:cs="Times New Roman"/>
                <w:b/>
                <w:bCs/>
                <w:sz w:val="16"/>
                <w:szCs w:val="16"/>
                <w:lang w:bidi="ar-JO"/>
              </w:rPr>
              <w:t xml:space="preserve"> </w:t>
            </w:r>
            <w:r w:rsidRPr="000C0284">
              <w:rPr>
                <w:rFonts w:eastAsia="Times New Roman" w:cs="Times New Roman"/>
                <w:sz w:val="16"/>
                <w:szCs w:val="16"/>
              </w:rPr>
              <w:t>(%)</w:t>
            </w:r>
          </w:p>
        </w:tc>
        <w:tc>
          <w:tcPr>
            <w:tcW w:w="1071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2.6</w:t>
            </w:r>
          </w:p>
        </w:tc>
        <w:tc>
          <w:tcPr>
            <w:tcW w:w="947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2.3</w:t>
            </w:r>
          </w:p>
        </w:tc>
        <w:tc>
          <w:tcPr>
            <w:tcW w:w="69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2.2</w:t>
            </w:r>
          </w:p>
        </w:tc>
        <w:tc>
          <w:tcPr>
            <w:tcW w:w="116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2.2</w:t>
            </w:r>
          </w:p>
        </w:tc>
        <w:tc>
          <w:tcPr>
            <w:tcW w:w="75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2.2</w:t>
            </w:r>
          </w:p>
        </w:tc>
        <w:tc>
          <w:tcPr>
            <w:tcW w:w="553" w:type="dxa"/>
            <w:vAlign w:val="center"/>
            <w:hideMark/>
          </w:tcPr>
          <w:p w:rsidR="00E40449" w:rsidRPr="00E45074" w:rsidRDefault="00E40449" w:rsidP="00252719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45074">
              <w:rPr>
                <w:rFonts w:eastAsia="Times New Roman" w:cs="Simplified Arabic"/>
                <w:sz w:val="16"/>
                <w:szCs w:val="16"/>
                <w:lang w:bidi="ar-JO"/>
              </w:rPr>
              <w:t> </w:t>
            </w:r>
            <w:r w:rsidR="00252719">
              <w:rPr>
                <w:rFonts w:eastAsia="Times New Roman" w:cs="Times New Roman"/>
                <w:sz w:val="16"/>
                <w:szCs w:val="16"/>
              </w:rPr>
              <w:t>2.2</w:t>
            </w:r>
          </w:p>
        </w:tc>
        <w:tc>
          <w:tcPr>
            <w:tcW w:w="567" w:type="dxa"/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</w:tr>
      <w:tr w:rsidR="00E40449" w:rsidRPr="00941044" w:rsidTr="00252719">
        <w:trPr>
          <w:trHeight w:val="327"/>
        </w:trPr>
        <w:tc>
          <w:tcPr>
            <w:tcW w:w="1007" w:type="dxa"/>
            <w:vMerge/>
            <w:vAlign w:val="center"/>
            <w:hideMark/>
          </w:tcPr>
          <w:p w:rsidR="00E40449" w:rsidRPr="00941044" w:rsidRDefault="00E40449" w:rsidP="00E40449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40449" w:rsidRPr="001A09E9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BF2461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Rate of natural increase </w:t>
            </w:r>
            <w:r w:rsidRPr="00BF2461">
              <w:rPr>
                <w:rFonts w:eastAsia="Times New Roman" w:cs="Times New Roman"/>
                <w:sz w:val="16"/>
                <w:szCs w:val="16"/>
              </w:rPr>
              <w:t>(%)</w:t>
            </w:r>
          </w:p>
        </w:tc>
        <w:tc>
          <w:tcPr>
            <w:tcW w:w="1071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2.4</w:t>
            </w:r>
          </w:p>
        </w:tc>
        <w:tc>
          <w:tcPr>
            <w:tcW w:w="947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2.1</w:t>
            </w:r>
          </w:p>
        </w:tc>
        <w:tc>
          <w:tcPr>
            <w:tcW w:w="69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2.1</w:t>
            </w:r>
          </w:p>
        </w:tc>
        <w:tc>
          <w:tcPr>
            <w:tcW w:w="116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2.1</w:t>
            </w:r>
          </w:p>
        </w:tc>
        <w:tc>
          <w:tcPr>
            <w:tcW w:w="75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497892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</w:t>
            </w:r>
            <w:r w:rsidRPr="00497892">
              <w:rPr>
                <w:rFonts w:eastAsia="Times New Roman" w:cs="Times New Roman"/>
                <w:sz w:val="16"/>
                <w:szCs w:val="16"/>
              </w:rPr>
              <w:t>2.1</w:t>
            </w:r>
          </w:p>
        </w:tc>
        <w:tc>
          <w:tcPr>
            <w:tcW w:w="553" w:type="dxa"/>
            <w:vAlign w:val="center"/>
            <w:hideMark/>
          </w:tcPr>
          <w:p w:rsidR="00E40449" w:rsidRPr="00E45074" w:rsidRDefault="00E40449" w:rsidP="000E27DE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45074">
              <w:rPr>
                <w:rFonts w:eastAsia="Times New Roman" w:cs="Simplified Arabic"/>
                <w:sz w:val="16"/>
                <w:szCs w:val="16"/>
                <w:lang w:bidi="ar-JO"/>
              </w:rPr>
              <w:t> </w:t>
            </w:r>
            <w:r w:rsidR="00662B51">
              <w:rPr>
                <w:rFonts w:eastAsia="Times New Roman" w:cs="Times New Roman"/>
                <w:sz w:val="16"/>
                <w:szCs w:val="16"/>
              </w:rPr>
              <w:t>2.1</w:t>
            </w:r>
          </w:p>
        </w:tc>
        <w:tc>
          <w:tcPr>
            <w:tcW w:w="567" w:type="dxa"/>
            <w:vAlign w:val="center"/>
            <w:hideMark/>
          </w:tcPr>
          <w:p w:rsidR="00E40449" w:rsidRPr="00497892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</w:tr>
      <w:tr w:rsidR="00E40449" w:rsidRPr="00941044" w:rsidTr="00252719">
        <w:trPr>
          <w:trHeight w:val="327"/>
        </w:trPr>
        <w:tc>
          <w:tcPr>
            <w:tcW w:w="1007" w:type="dxa"/>
            <w:vMerge/>
            <w:vAlign w:val="center"/>
            <w:hideMark/>
          </w:tcPr>
          <w:p w:rsidR="00E40449" w:rsidRPr="00941044" w:rsidRDefault="00E40449" w:rsidP="00E40449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40449" w:rsidRPr="001A09E9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A34E83">
              <w:rPr>
                <w:rFonts w:eastAsia="Times New Roman" w:cs="Simplified Arabic"/>
                <w:b/>
                <w:bCs/>
                <w:sz w:val="16"/>
                <w:szCs w:val="16"/>
              </w:rPr>
              <w:t>Tota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l </w:t>
            </w:r>
            <w:r w:rsidRPr="007522E2">
              <w:rPr>
                <w:rFonts w:eastAsia="Times New Roman" w:cs="Simplified Arabic"/>
                <w:b/>
                <w:bCs/>
                <w:sz w:val="16"/>
                <w:szCs w:val="16"/>
              </w:rPr>
              <w:t>households (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000</w:t>
            </w:r>
            <w:r w:rsidRPr="007522E2">
              <w:rPr>
                <w:rFonts w:eastAsia="Times New Roman" w:cs="Simplified Arabic"/>
                <w:b/>
                <w:bCs/>
                <w:sz w:val="16"/>
                <w:szCs w:val="16"/>
              </w:rPr>
              <w:t>)</w:t>
            </w:r>
            <w:r w:rsidRPr="007522E2">
              <w:rPr>
                <w:rFonts w:eastAsia="Times New Roman" w:cs="Times New Roman"/>
                <w:b/>
                <w:bCs/>
                <w:sz w:val="16"/>
                <w:szCs w:val="16"/>
                <w:lang w:bidi="ar-JO"/>
              </w:rPr>
              <w:t xml:space="preserve"> </w:t>
            </w:r>
          </w:p>
        </w:tc>
        <w:tc>
          <w:tcPr>
            <w:tcW w:w="1071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991</w:t>
            </w:r>
          </w:p>
        </w:tc>
        <w:tc>
          <w:tcPr>
            <w:tcW w:w="947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1037</w:t>
            </w:r>
          </w:p>
        </w:tc>
        <w:tc>
          <w:tcPr>
            <w:tcW w:w="69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1083</w:t>
            </w:r>
          </w:p>
        </w:tc>
        <w:tc>
          <w:tcPr>
            <w:tcW w:w="116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1132</w:t>
            </w:r>
          </w:p>
        </w:tc>
        <w:tc>
          <w:tcPr>
            <w:tcW w:w="75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1157</w:t>
            </w:r>
          </w:p>
        </w:tc>
        <w:tc>
          <w:tcPr>
            <w:tcW w:w="553" w:type="dxa"/>
            <w:vAlign w:val="center"/>
            <w:hideMark/>
          </w:tcPr>
          <w:p w:rsidR="00E40449" w:rsidRPr="00E45074" w:rsidRDefault="00E40449" w:rsidP="000E27DE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45074">
              <w:rPr>
                <w:rFonts w:eastAsia="Times New Roman" w:cs="Simplified Arabic"/>
                <w:sz w:val="16"/>
                <w:szCs w:val="16"/>
                <w:lang w:bidi="ar-JO"/>
              </w:rPr>
              <w:t> </w:t>
            </w:r>
            <w:r w:rsidR="00662B51">
              <w:rPr>
                <w:rFonts w:eastAsia="Times New Roman" w:cs="Times New Roman"/>
                <w:sz w:val="16"/>
                <w:szCs w:val="16"/>
              </w:rPr>
              <w:t>1173</w:t>
            </w:r>
          </w:p>
        </w:tc>
        <w:tc>
          <w:tcPr>
            <w:tcW w:w="567" w:type="dxa"/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</w:tr>
      <w:tr w:rsidR="00E40449" w:rsidRPr="00941044" w:rsidTr="00252719">
        <w:trPr>
          <w:trHeight w:val="327"/>
        </w:trPr>
        <w:tc>
          <w:tcPr>
            <w:tcW w:w="1007" w:type="dxa"/>
            <w:vMerge/>
            <w:vAlign w:val="center"/>
            <w:hideMark/>
          </w:tcPr>
          <w:p w:rsidR="00E40449" w:rsidRPr="00941044" w:rsidRDefault="00E40449" w:rsidP="00E40449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40449" w:rsidRPr="001A09E9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F379BA">
              <w:rPr>
                <w:rFonts w:eastAsia="Times New Roman" w:cs="Simplified Arabic"/>
                <w:b/>
                <w:bCs/>
                <w:sz w:val="16"/>
                <w:szCs w:val="16"/>
              </w:rPr>
              <w:t>Household growth rate</w:t>
            </w:r>
          </w:p>
        </w:tc>
        <w:tc>
          <w:tcPr>
            <w:tcW w:w="1071" w:type="dxa"/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3.1</w:t>
            </w:r>
          </w:p>
        </w:tc>
        <w:tc>
          <w:tcPr>
            <w:tcW w:w="947" w:type="dxa"/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2.3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2.2</w:t>
            </w:r>
          </w:p>
        </w:tc>
        <w:tc>
          <w:tcPr>
            <w:tcW w:w="1166" w:type="dxa"/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2.3</w:t>
            </w:r>
          </w:p>
        </w:tc>
        <w:tc>
          <w:tcPr>
            <w:tcW w:w="758" w:type="dxa"/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</w:t>
            </w:r>
            <w:r>
              <w:rPr>
                <w:rFonts w:eastAsia="Times New Roman" w:cs="Simplified Arabic"/>
                <w:sz w:val="16"/>
                <w:szCs w:val="16"/>
              </w:rPr>
              <w:t>2.2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E40449" w:rsidRPr="00E45074" w:rsidRDefault="00E40449" w:rsidP="00252719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45074">
              <w:rPr>
                <w:rFonts w:eastAsia="Times New Roman" w:cs="Simplified Arabic"/>
                <w:sz w:val="16"/>
                <w:szCs w:val="16"/>
                <w:lang w:bidi="ar-JO"/>
              </w:rPr>
              <w:t> </w:t>
            </w:r>
            <w:r w:rsidR="000D2873">
              <w:rPr>
                <w:rFonts w:eastAsia="Times New Roman" w:cs="Times New Roman"/>
                <w:sz w:val="16"/>
                <w:szCs w:val="16"/>
              </w:rPr>
              <w:t>1.4</w:t>
            </w:r>
          </w:p>
        </w:tc>
        <w:tc>
          <w:tcPr>
            <w:tcW w:w="567" w:type="dxa"/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E40449" w:rsidRPr="00941044" w:rsidTr="00252719">
        <w:trPr>
          <w:trHeight w:val="332"/>
        </w:trPr>
        <w:tc>
          <w:tcPr>
            <w:tcW w:w="1007" w:type="dxa"/>
            <w:vMerge/>
            <w:vAlign w:val="center"/>
            <w:hideMark/>
          </w:tcPr>
          <w:p w:rsidR="00E40449" w:rsidRPr="00941044" w:rsidRDefault="00E40449" w:rsidP="00E40449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40449" w:rsidRPr="001A09E9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BA5AAC">
              <w:rPr>
                <w:rFonts w:eastAsia="Times New Roman" w:cs="Simplified Arabic"/>
                <w:b/>
                <w:bCs/>
                <w:sz w:val="16"/>
                <w:szCs w:val="16"/>
              </w:rPr>
              <w:t>Average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</w:t>
            </w:r>
            <w:r w:rsidRPr="007522E2">
              <w:rPr>
                <w:rFonts w:eastAsia="Times New Roman" w:cs="Simplified Arabic"/>
                <w:b/>
                <w:bCs/>
                <w:sz w:val="16"/>
                <w:szCs w:val="16"/>
              </w:rPr>
              <w:t>household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</w:t>
            </w:r>
            <w:r w:rsidRPr="00BA5AAC">
              <w:rPr>
                <w:rFonts w:eastAsia="Times New Roman" w:cs="Simplified Arabic"/>
                <w:b/>
                <w:bCs/>
                <w:sz w:val="16"/>
                <w:szCs w:val="16"/>
              </w:rPr>
              <w:t>size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(person)</w:t>
            </w:r>
            <w:r w:rsidRPr="00BA5AAC">
              <w:rPr>
                <w:rFonts w:eastAsia="Times New Roman" w:cs="Times New Roman"/>
                <w:b/>
                <w:bCs/>
                <w:sz w:val="16"/>
                <w:szCs w:val="16"/>
                <w:lang w:bidi="ar-JO"/>
              </w:rPr>
              <w:t xml:space="preserve"> </w:t>
            </w:r>
          </w:p>
        </w:tc>
        <w:tc>
          <w:tcPr>
            <w:tcW w:w="1071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5.4</w:t>
            </w:r>
          </w:p>
        </w:tc>
        <w:tc>
          <w:tcPr>
            <w:tcW w:w="947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5.4</w:t>
            </w:r>
          </w:p>
        </w:tc>
        <w:tc>
          <w:tcPr>
            <w:tcW w:w="69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5.4</w:t>
            </w:r>
          </w:p>
        </w:tc>
        <w:tc>
          <w:tcPr>
            <w:tcW w:w="116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5.4</w:t>
            </w:r>
          </w:p>
        </w:tc>
        <w:tc>
          <w:tcPr>
            <w:tcW w:w="75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 xml:space="preserve">5.4 </w:t>
            </w:r>
          </w:p>
        </w:tc>
        <w:tc>
          <w:tcPr>
            <w:tcW w:w="553" w:type="dxa"/>
            <w:vAlign w:val="center"/>
            <w:hideMark/>
          </w:tcPr>
          <w:p w:rsidR="00E40449" w:rsidRPr="00E45074" w:rsidRDefault="00E40449" w:rsidP="000E27DE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45074">
              <w:rPr>
                <w:rFonts w:eastAsia="Times New Roman" w:cs="Simplified Arabic"/>
                <w:sz w:val="16"/>
                <w:szCs w:val="16"/>
                <w:lang w:bidi="ar-JO"/>
              </w:rPr>
              <w:t> </w:t>
            </w:r>
            <w:r w:rsidR="000D2873">
              <w:rPr>
                <w:rFonts w:eastAsia="Times New Roman" w:cs="Times New Roman"/>
                <w:sz w:val="16"/>
                <w:szCs w:val="16"/>
              </w:rPr>
              <w:t>5.4</w:t>
            </w:r>
          </w:p>
        </w:tc>
        <w:tc>
          <w:tcPr>
            <w:tcW w:w="567" w:type="dxa"/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</w:tr>
      <w:tr w:rsidR="00E40449" w:rsidRPr="00941044" w:rsidTr="00252719">
        <w:trPr>
          <w:cantSplit/>
          <w:trHeight w:val="340"/>
        </w:trPr>
        <w:tc>
          <w:tcPr>
            <w:tcW w:w="1007" w:type="dxa"/>
            <w:vMerge w:val="restart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Economic</w:t>
            </w: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1A09E9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580A11">
              <w:rPr>
                <w:rFonts w:eastAsia="Times New Roman" w:cs="Simplified Arabic"/>
                <w:b/>
                <w:bCs/>
                <w:sz w:val="15"/>
                <w:szCs w:val="15"/>
              </w:rPr>
              <w:t xml:space="preserve">GDP growth rate </w:t>
            </w:r>
            <w:proofErr w:type="gramStart"/>
            <w:r w:rsidRPr="00580A11">
              <w:rPr>
                <w:rFonts w:eastAsia="Times New Roman" w:cs="Simplified Arabic"/>
                <w:b/>
                <w:bCs/>
                <w:sz w:val="15"/>
                <w:szCs w:val="15"/>
              </w:rPr>
              <w:t>( current</w:t>
            </w:r>
            <w:proofErr w:type="gramEnd"/>
            <w:r w:rsidRPr="00580A11">
              <w:rPr>
                <w:rFonts w:eastAsia="Times New Roman" w:cs="Simplified Arabic"/>
                <w:b/>
                <w:bCs/>
                <w:sz w:val="15"/>
                <w:szCs w:val="15"/>
              </w:rPr>
              <w:t xml:space="preserve"> prices)</w:t>
            </w:r>
            <w:r>
              <w:rPr>
                <w:rFonts w:eastAsia="Times New Roman" w:cs="Simplified Arabic"/>
                <w:b/>
                <w:bCs/>
                <w:sz w:val="15"/>
                <w:szCs w:val="15"/>
              </w:rPr>
              <w:t xml:space="preserve"> </w:t>
            </w:r>
            <w:r w:rsidRPr="00580A11">
              <w:rPr>
                <w:rFonts w:eastAsia="Times New Roman" w:cs="Simplified Arabic"/>
                <w:b/>
                <w:bCs/>
                <w:sz w:val="15"/>
                <w:szCs w:val="15"/>
              </w:rPr>
              <w:t>(%)</w:t>
            </w:r>
          </w:p>
        </w:tc>
        <w:tc>
          <w:tcPr>
            <w:tcW w:w="1071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11.9</w:t>
            </w:r>
          </w:p>
        </w:tc>
        <w:tc>
          <w:tcPr>
            <w:tcW w:w="947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24.3</w:t>
            </w:r>
          </w:p>
        </w:tc>
        <w:tc>
          <w:tcPr>
            <w:tcW w:w="69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27.9</w:t>
            </w:r>
          </w:p>
        </w:tc>
        <w:tc>
          <w:tcPr>
            <w:tcW w:w="116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C503F8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10.9</w:t>
            </w:r>
            <w:r w:rsidR="00E40449" w:rsidRPr="0094104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75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</w:t>
            </w:r>
            <w:r w:rsidRPr="00497892">
              <w:rPr>
                <w:rFonts w:eastAsia="Times New Roman" w:cs="Times New Roman"/>
                <w:sz w:val="16"/>
                <w:szCs w:val="16"/>
              </w:rPr>
              <w:t>9.1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•</w:t>
            </w:r>
          </w:p>
        </w:tc>
        <w:tc>
          <w:tcPr>
            <w:tcW w:w="553" w:type="dxa"/>
            <w:vAlign w:val="center"/>
            <w:hideMark/>
          </w:tcPr>
          <w:p w:rsidR="00E40449" w:rsidRPr="007A3AC5" w:rsidRDefault="00E40449" w:rsidP="00252719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7A3AC5">
              <w:rPr>
                <w:rFonts w:eastAsia="Times New Roman" w:cs="Simplified Arabic"/>
                <w:sz w:val="16"/>
                <w:szCs w:val="16"/>
              </w:rPr>
              <w:t> </w:t>
            </w:r>
            <w:r w:rsidR="008617B8" w:rsidRPr="007A3AC5">
              <w:rPr>
                <w:rFonts w:eastAsia="Times New Roman" w:cs="Times New Roman"/>
                <w:sz w:val="16"/>
                <w:szCs w:val="16"/>
              </w:rPr>
              <w:t>7.3</w:t>
            </w:r>
            <w:r w:rsidR="008617B8" w:rsidRPr="007A3AC5">
              <w:rPr>
                <w:rFonts w:eastAsia="Times New Roman" w:cs="Simplified Arabic"/>
                <w:sz w:val="16"/>
                <w:szCs w:val="16"/>
              </w:rPr>
              <w:t>•</w:t>
            </w:r>
          </w:p>
        </w:tc>
        <w:tc>
          <w:tcPr>
            <w:tcW w:w="567" w:type="dxa"/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annual</w:t>
            </w:r>
          </w:p>
        </w:tc>
      </w:tr>
      <w:tr w:rsidR="00E40449" w:rsidRPr="00941044" w:rsidTr="00252719">
        <w:trPr>
          <w:trHeight w:val="385"/>
        </w:trPr>
        <w:tc>
          <w:tcPr>
            <w:tcW w:w="1007" w:type="dxa"/>
            <w:vMerge/>
            <w:vAlign w:val="center"/>
            <w:hideMark/>
          </w:tcPr>
          <w:p w:rsidR="00E40449" w:rsidRPr="00941044" w:rsidRDefault="00E40449" w:rsidP="00E40449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1A09E9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79458E">
              <w:rPr>
                <w:rFonts w:eastAsia="Times New Roman" w:cs="Simplified Arabic"/>
                <w:b/>
                <w:bCs/>
                <w:sz w:val="15"/>
                <w:szCs w:val="15"/>
              </w:rPr>
              <w:t>GDP  Per capita (</w:t>
            </w:r>
            <w:r w:rsidRPr="0079458E">
              <w:rPr>
                <w:rFonts w:eastAsia="Times New Roman" w:cs="Simplified Arabic"/>
                <w:b/>
                <w:bCs/>
                <w:sz w:val="16"/>
                <w:szCs w:val="16"/>
              </w:rPr>
              <w:t>(JD</w:t>
            </w:r>
            <w:r w:rsidRPr="0079458E">
              <w:rPr>
                <w:rFonts w:eastAsia="Times New Roman" w:cs="Simplified Arabic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071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1512</w:t>
            </w:r>
          </w:p>
        </w:tc>
        <w:tc>
          <w:tcPr>
            <w:tcW w:w="947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1981</w:t>
            </w:r>
          </w:p>
        </w:tc>
        <w:tc>
          <w:tcPr>
            <w:tcW w:w="69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2736</w:t>
            </w:r>
          </w:p>
        </w:tc>
        <w:tc>
          <w:tcPr>
            <w:tcW w:w="116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941044" w:rsidRDefault="00E40449" w:rsidP="00D94A7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3</w:t>
            </w:r>
            <w:r w:rsidR="00D94A78">
              <w:rPr>
                <w:rFonts w:eastAsia="Times New Roman" w:cs="Simplified Arabic"/>
                <w:sz w:val="16"/>
                <w:szCs w:val="16"/>
                <w:lang w:bidi="ar-JO"/>
              </w:rPr>
              <w:t>069</w:t>
            </w: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 xml:space="preserve"> *</w:t>
            </w:r>
          </w:p>
        </w:tc>
        <w:tc>
          <w:tcPr>
            <w:tcW w:w="75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40449" w:rsidRPr="00497892" w:rsidRDefault="00E40449" w:rsidP="00F53B95">
            <w:pPr>
              <w:bidi w:val="0"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97892">
              <w:rPr>
                <w:rFonts w:eastAsia="Times New Roman" w:cs="Times New Roman"/>
                <w:sz w:val="16"/>
                <w:szCs w:val="16"/>
              </w:rPr>
              <w:t>327</w:t>
            </w:r>
            <w:r w:rsidR="00F53B95">
              <w:rPr>
                <w:rFonts w:eastAsia="Times New Roman" w:cs="Times New Roman"/>
                <w:sz w:val="16"/>
                <w:szCs w:val="16"/>
              </w:rPr>
              <w:t>7</w:t>
            </w:r>
            <w:r w:rsidR="007A3AC5" w:rsidRPr="00941044">
              <w:rPr>
                <w:rFonts w:eastAsia="Times New Roman" w:cs="Simplified Arabic"/>
                <w:sz w:val="16"/>
                <w:szCs w:val="16"/>
              </w:rPr>
              <w:t>•</w:t>
            </w:r>
          </w:p>
        </w:tc>
        <w:tc>
          <w:tcPr>
            <w:tcW w:w="553" w:type="dxa"/>
            <w:vAlign w:val="center"/>
            <w:hideMark/>
          </w:tcPr>
          <w:p w:rsidR="00E40449" w:rsidRPr="007A3AC5" w:rsidRDefault="00E40449" w:rsidP="00252719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7A3AC5">
              <w:rPr>
                <w:rFonts w:eastAsia="Times New Roman" w:cs="Simplified Arabic"/>
                <w:sz w:val="16"/>
                <w:szCs w:val="16"/>
              </w:rPr>
              <w:t> </w:t>
            </w:r>
            <w:r w:rsidR="001125BD" w:rsidRPr="007A3AC5">
              <w:rPr>
                <w:rFonts w:eastAsia="Times New Roman" w:cs="Times New Roman"/>
                <w:sz w:val="16"/>
                <w:szCs w:val="16"/>
              </w:rPr>
              <w:t>3439</w:t>
            </w:r>
            <w:r w:rsidR="007A3AC5" w:rsidRPr="00941044">
              <w:rPr>
                <w:rFonts w:eastAsia="Times New Roman" w:cs="Simplified Arabic"/>
                <w:sz w:val="16"/>
                <w:szCs w:val="16"/>
              </w:rPr>
              <w:t>•</w:t>
            </w:r>
          </w:p>
        </w:tc>
        <w:tc>
          <w:tcPr>
            <w:tcW w:w="567" w:type="dxa"/>
            <w:vAlign w:val="center"/>
            <w:hideMark/>
          </w:tcPr>
          <w:p w:rsidR="00E40449" w:rsidRPr="00497892" w:rsidRDefault="00E40449" w:rsidP="00E40449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E40449" w:rsidRPr="00941044" w:rsidRDefault="00E40449" w:rsidP="00E4044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annual</w:t>
            </w:r>
          </w:p>
        </w:tc>
      </w:tr>
      <w:tr w:rsidR="00D936F8" w:rsidRPr="00941044" w:rsidTr="00252719">
        <w:trPr>
          <w:trHeight w:val="387"/>
        </w:trPr>
        <w:tc>
          <w:tcPr>
            <w:tcW w:w="1007" w:type="dxa"/>
            <w:vMerge/>
            <w:vAlign w:val="center"/>
            <w:hideMark/>
          </w:tcPr>
          <w:p w:rsidR="00D936F8" w:rsidRPr="00941044" w:rsidRDefault="00D936F8" w:rsidP="00D936F8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1A09E9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8C368A">
              <w:rPr>
                <w:rFonts w:eastAsia="Times New Roman" w:cs="Simplified Arabic"/>
                <w:b/>
                <w:bCs/>
                <w:sz w:val="16"/>
                <w:szCs w:val="16"/>
              </w:rPr>
              <w:t>Median annual income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of</w:t>
            </w:r>
            <w:r w:rsidRPr="008C368A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household  (JD)</w:t>
            </w:r>
          </w:p>
        </w:tc>
        <w:tc>
          <w:tcPr>
            <w:tcW w:w="1071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4530</w:t>
            </w:r>
          </w:p>
        </w:tc>
        <w:tc>
          <w:tcPr>
            <w:tcW w:w="947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4</w:t>
            </w: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662</w:t>
            </w:r>
          </w:p>
        </w:tc>
        <w:tc>
          <w:tcPr>
            <w:tcW w:w="69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5689</w:t>
            </w:r>
          </w:p>
        </w:tc>
        <w:tc>
          <w:tcPr>
            <w:tcW w:w="116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6477</w:t>
            </w:r>
          </w:p>
        </w:tc>
        <w:tc>
          <w:tcPr>
            <w:tcW w:w="75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-</w:t>
            </w:r>
          </w:p>
        </w:tc>
        <w:tc>
          <w:tcPr>
            <w:tcW w:w="553" w:type="dxa"/>
            <w:vAlign w:val="center"/>
            <w:hideMark/>
          </w:tcPr>
          <w:p w:rsidR="00D936F8" w:rsidRPr="00E45074" w:rsidRDefault="00D936F8" w:rsidP="00252719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45074">
              <w:rPr>
                <w:rFonts w:eastAsia="Times New Roman" w:cs="Simplified Arabic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 xml:space="preserve">  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-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Every two years</w:t>
            </w:r>
          </w:p>
        </w:tc>
      </w:tr>
      <w:tr w:rsidR="00D936F8" w:rsidRPr="00941044" w:rsidTr="00252719">
        <w:trPr>
          <w:trHeight w:val="387"/>
        </w:trPr>
        <w:tc>
          <w:tcPr>
            <w:tcW w:w="1007" w:type="dxa"/>
            <w:vMerge/>
            <w:vAlign w:val="center"/>
            <w:hideMark/>
          </w:tcPr>
          <w:p w:rsidR="00D936F8" w:rsidRPr="00941044" w:rsidRDefault="00D936F8" w:rsidP="00D936F8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D936F8" w:rsidRPr="001A09E9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CC2405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(%) 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C</w:t>
            </w:r>
            <w:r w:rsidRPr="00CC2405">
              <w:rPr>
                <w:rFonts w:eastAsia="Times New Roman" w:cs="Simplified Arabic"/>
                <w:b/>
                <w:bCs/>
                <w:sz w:val="16"/>
                <w:szCs w:val="16"/>
              </w:rPr>
              <w:t>hange in income (simple growth rate during 2 years)</w:t>
            </w:r>
          </w:p>
        </w:tc>
        <w:tc>
          <w:tcPr>
            <w:tcW w:w="1071" w:type="dxa"/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7.7</w:t>
            </w:r>
            <w:r w:rsidRPr="00941044">
              <w:rPr>
                <w:rStyle w:val="FootnoteReference"/>
                <w:rFonts w:eastAsia="Times New Roman" w:cs="Times New Roman"/>
              </w:rPr>
              <w:footnoteReference w:id="1"/>
            </w:r>
          </w:p>
        </w:tc>
        <w:tc>
          <w:tcPr>
            <w:tcW w:w="947" w:type="dxa"/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2.9</w:t>
            </w:r>
          </w:p>
        </w:tc>
        <w:tc>
          <w:tcPr>
            <w:tcW w:w="696" w:type="dxa"/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22</w:t>
            </w:r>
          </w:p>
        </w:tc>
        <w:tc>
          <w:tcPr>
            <w:tcW w:w="1166" w:type="dxa"/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13.9</w:t>
            </w:r>
          </w:p>
        </w:tc>
        <w:tc>
          <w:tcPr>
            <w:tcW w:w="758" w:type="dxa"/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D936F8" w:rsidRPr="00E45074" w:rsidRDefault="00D936F8" w:rsidP="00252719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45074">
              <w:rPr>
                <w:rFonts w:eastAsia="Times New Roman" w:cs="Simplified Arabic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936F8" w:rsidRPr="00941044" w:rsidTr="00252719">
        <w:trPr>
          <w:trHeight w:val="303"/>
        </w:trPr>
        <w:tc>
          <w:tcPr>
            <w:tcW w:w="1007" w:type="dxa"/>
            <w:vMerge/>
            <w:vAlign w:val="center"/>
            <w:hideMark/>
          </w:tcPr>
          <w:p w:rsidR="00D936F8" w:rsidRPr="00941044" w:rsidRDefault="00D936F8" w:rsidP="00D936F8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D936F8" w:rsidRPr="001A09E9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587EB5">
              <w:rPr>
                <w:rFonts w:eastAsia="Times New Roman" w:cs="Simplified Arabic"/>
                <w:b/>
                <w:bCs/>
                <w:sz w:val="16"/>
                <w:szCs w:val="16"/>
              </w:rPr>
              <w:t>General poverty line per person per year-JD/constant prices</w:t>
            </w:r>
            <w:r w:rsidRPr="00587EB5">
              <w:rPr>
                <w:rFonts w:eastAsia="Times New Roman" w:cs="Times New Roman"/>
                <w:b/>
                <w:bCs/>
                <w:sz w:val="16"/>
                <w:szCs w:val="16"/>
                <w:lang w:bidi="ar-JO"/>
              </w:rPr>
              <w:t xml:space="preserve"> </w:t>
            </w:r>
          </w:p>
        </w:tc>
        <w:tc>
          <w:tcPr>
            <w:tcW w:w="1071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392 (2002)</w:t>
            </w:r>
          </w:p>
        </w:tc>
        <w:tc>
          <w:tcPr>
            <w:tcW w:w="947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556</w:t>
            </w:r>
          </w:p>
        </w:tc>
        <w:tc>
          <w:tcPr>
            <w:tcW w:w="69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680</w:t>
            </w:r>
          </w:p>
        </w:tc>
        <w:tc>
          <w:tcPr>
            <w:tcW w:w="116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EB556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B5564">
              <w:rPr>
                <w:rFonts w:eastAsia="Times New Roman" w:cs="Times New Roman"/>
                <w:sz w:val="16"/>
                <w:szCs w:val="16"/>
              </w:rPr>
              <w:t>814</w:t>
            </w:r>
          </w:p>
        </w:tc>
        <w:tc>
          <w:tcPr>
            <w:tcW w:w="75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-</w:t>
            </w:r>
          </w:p>
        </w:tc>
        <w:tc>
          <w:tcPr>
            <w:tcW w:w="553" w:type="dxa"/>
            <w:vAlign w:val="center"/>
            <w:hideMark/>
          </w:tcPr>
          <w:p w:rsidR="00D936F8" w:rsidRPr="00E45074" w:rsidRDefault="00D936F8" w:rsidP="00252719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45074">
              <w:rPr>
                <w:rFonts w:eastAsia="Times New Roman" w:cs="Simplified Arabic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 xml:space="preserve">  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-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Every two years</w:t>
            </w:r>
          </w:p>
        </w:tc>
      </w:tr>
      <w:tr w:rsidR="00D936F8" w:rsidRPr="00941044" w:rsidTr="00252719">
        <w:trPr>
          <w:trHeight w:val="225"/>
        </w:trPr>
        <w:tc>
          <w:tcPr>
            <w:tcW w:w="1007" w:type="dxa"/>
            <w:vMerge/>
            <w:vAlign w:val="center"/>
            <w:hideMark/>
          </w:tcPr>
          <w:p w:rsidR="00D936F8" w:rsidRPr="00941044" w:rsidRDefault="00D936F8" w:rsidP="00D936F8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1A09E9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E00ADB">
              <w:rPr>
                <w:rFonts w:eastAsia="Times New Roman" w:cs="Simplified Arabic"/>
                <w:b/>
                <w:bCs/>
                <w:sz w:val="15"/>
                <w:szCs w:val="15"/>
              </w:rPr>
              <w:t>The poverty rate in the Kingdom</w:t>
            </w:r>
          </w:p>
        </w:tc>
        <w:tc>
          <w:tcPr>
            <w:tcW w:w="1071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14.2 (2002)</w:t>
            </w:r>
          </w:p>
        </w:tc>
        <w:tc>
          <w:tcPr>
            <w:tcW w:w="947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13.0</w:t>
            </w:r>
          </w:p>
        </w:tc>
        <w:tc>
          <w:tcPr>
            <w:tcW w:w="69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13.3</w:t>
            </w:r>
          </w:p>
        </w:tc>
        <w:tc>
          <w:tcPr>
            <w:tcW w:w="116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14.4</w:t>
            </w:r>
          </w:p>
        </w:tc>
        <w:tc>
          <w:tcPr>
            <w:tcW w:w="75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-</w:t>
            </w:r>
          </w:p>
        </w:tc>
        <w:tc>
          <w:tcPr>
            <w:tcW w:w="553" w:type="dxa"/>
            <w:vAlign w:val="center"/>
            <w:hideMark/>
          </w:tcPr>
          <w:p w:rsidR="00D936F8" w:rsidRPr="00E45074" w:rsidRDefault="00D936F8" w:rsidP="00252719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45074">
              <w:rPr>
                <w:rFonts w:eastAsia="Times New Roman" w:cs="Simplified Arabic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 xml:space="preserve">  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-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Every two years</w:t>
            </w:r>
          </w:p>
        </w:tc>
      </w:tr>
      <w:tr w:rsidR="00D936F8" w:rsidRPr="00941044" w:rsidTr="00E40449">
        <w:trPr>
          <w:trHeight w:val="225"/>
        </w:trPr>
        <w:tc>
          <w:tcPr>
            <w:tcW w:w="1007" w:type="dxa"/>
            <w:vMerge/>
            <w:vAlign w:val="center"/>
            <w:hideMark/>
          </w:tcPr>
          <w:p w:rsidR="00D936F8" w:rsidRPr="00941044" w:rsidRDefault="00D936F8" w:rsidP="00D936F8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D936F8" w:rsidRPr="001A09E9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022B2E">
              <w:rPr>
                <w:rFonts w:eastAsia="Times New Roman" w:cs="Simplified Arabic"/>
                <w:b/>
                <w:bCs/>
                <w:sz w:val="15"/>
                <w:szCs w:val="15"/>
              </w:rPr>
              <w:t>Unemployment rate (%)</w:t>
            </w:r>
          </w:p>
        </w:tc>
        <w:tc>
          <w:tcPr>
            <w:tcW w:w="1071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14.6</w:t>
            </w:r>
          </w:p>
        </w:tc>
        <w:tc>
          <w:tcPr>
            <w:tcW w:w="947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14</w:t>
            </w:r>
          </w:p>
        </w:tc>
        <w:tc>
          <w:tcPr>
            <w:tcW w:w="69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12.7</w:t>
            </w:r>
          </w:p>
        </w:tc>
        <w:tc>
          <w:tcPr>
            <w:tcW w:w="116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12.5</w:t>
            </w:r>
          </w:p>
        </w:tc>
        <w:tc>
          <w:tcPr>
            <w:tcW w:w="75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12.</w:t>
            </w:r>
            <w:r>
              <w:rPr>
                <w:rFonts w:eastAsia="Times New Roman" w:cs="Simplified Arabic"/>
                <w:sz w:val="16"/>
                <w:szCs w:val="16"/>
              </w:rPr>
              <w:t>9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 xml:space="preserve"> </w:t>
            </w:r>
          </w:p>
        </w:tc>
        <w:tc>
          <w:tcPr>
            <w:tcW w:w="553" w:type="dxa"/>
            <w:hideMark/>
          </w:tcPr>
          <w:p w:rsidR="00D936F8" w:rsidRPr="00941044" w:rsidRDefault="00D936F8" w:rsidP="000F56A0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12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.</w:t>
            </w:r>
            <w:r w:rsidR="000F56A0">
              <w:rPr>
                <w:rFonts w:eastAsia="Times New Roman" w:cs="Simplified Arabic"/>
                <w:sz w:val="16"/>
                <w:szCs w:val="16"/>
              </w:rPr>
              <w:t>2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D936F8" w:rsidRPr="00941044" w:rsidRDefault="00D936F8" w:rsidP="00451FA5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12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.</w:t>
            </w:r>
            <w:r w:rsidR="00451FA5">
              <w:rPr>
                <w:rFonts w:eastAsia="Times New Roman" w:cs="Simplified Arabic"/>
                <w:sz w:val="16"/>
                <w:szCs w:val="16"/>
              </w:rPr>
              <w:t>6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 xml:space="preserve"> *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 xml:space="preserve">Quarterly </w:t>
            </w:r>
          </w:p>
        </w:tc>
      </w:tr>
      <w:tr w:rsidR="00D936F8" w:rsidRPr="00941044" w:rsidTr="00E40449">
        <w:trPr>
          <w:trHeight w:val="225"/>
        </w:trPr>
        <w:tc>
          <w:tcPr>
            <w:tcW w:w="1007" w:type="dxa"/>
            <w:vMerge/>
            <w:vAlign w:val="center"/>
            <w:hideMark/>
          </w:tcPr>
          <w:p w:rsidR="00D936F8" w:rsidRPr="00941044" w:rsidRDefault="00D936F8" w:rsidP="00D936F8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D936F8" w:rsidRPr="001A09E9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253DDA">
              <w:rPr>
                <w:rFonts w:eastAsia="Times New Roman" w:cs="Simplified Arabic"/>
                <w:b/>
                <w:bCs/>
                <w:sz w:val="15"/>
                <w:szCs w:val="15"/>
              </w:rPr>
              <w:t>Employment in the construction sector</w:t>
            </w:r>
            <w:r w:rsidRPr="00253DDA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</w:t>
            </w:r>
            <w:r w:rsidRPr="00253DDA">
              <w:rPr>
                <w:rFonts w:eastAsia="Times New Roman" w:cs="Times New Roman"/>
                <w:sz w:val="16"/>
                <w:szCs w:val="16"/>
              </w:rPr>
              <w:t>(%)</w:t>
            </w:r>
          </w:p>
        </w:tc>
        <w:tc>
          <w:tcPr>
            <w:tcW w:w="1071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7.1</w:t>
            </w:r>
          </w:p>
        </w:tc>
        <w:tc>
          <w:tcPr>
            <w:tcW w:w="947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6.3</w:t>
            </w:r>
          </w:p>
        </w:tc>
        <w:tc>
          <w:tcPr>
            <w:tcW w:w="69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6.4</w:t>
            </w:r>
          </w:p>
        </w:tc>
        <w:tc>
          <w:tcPr>
            <w:tcW w:w="116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6.4</w:t>
            </w:r>
          </w:p>
        </w:tc>
        <w:tc>
          <w:tcPr>
            <w:tcW w:w="75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6</w:t>
            </w:r>
          </w:p>
        </w:tc>
        <w:tc>
          <w:tcPr>
            <w:tcW w:w="553" w:type="dxa"/>
            <w:hideMark/>
          </w:tcPr>
          <w:p w:rsidR="00D936F8" w:rsidRPr="00941044" w:rsidRDefault="000F56A0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D936F8" w:rsidRPr="00941044" w:rsidRDefault="00D936F8" w:rsidP="00451FA5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6.</w:t>
            </w:r>
            <w:r w:rsidR="00451FA5">
              <w:rPr>
                <w:rFonts w:eastAsia="Times New Roman" w:cs="Simplified Arabic"/>
                <w:sz w:val="16"/>
                <w:szCs w:val="16"/>
              </w:rPr>
              <w:t>6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 xml:space="preserve">Quarterly </w:t>
            </w:r>
          </w:p>
        </w:tc>
      </w:tr>
      <w:tr w:rsidR="00D936F8" w:rsidRPr="00941044" w:rsidTr="007977FC">
        <w:trPr>
          <w:trHeight w:val="225"/>
        </w:trPr>
        <w:tc>
          <w:tcPr>
            <w:tcW w:w="1007" w:type="dxa"/>
            <w:vMerge/>
            <w:vAlign w:val="center"/>
            <w:hideMark/>
          </w:tcPr>
          <w:p w:rsidR="00D936F8" w:rsidRPr="00941044" w:rsidRDefault="00D936F8" w:rsidP="00D936F8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D936F8" w:rsidRPr="001A09E9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253DDA">
              <w:rPr>
                <w:rFonts w:eastAsia="Times New Roman" w:cs="Simplified Arabic"/>
                <w:b/>
                <w:bCs/>
                <w:sz w:val="15"/>
                <w:szCs w:val="15"/>
              </w:rPr>
              <w:t>Ratio of  Jordanian employment Remittances  abroad of GDP</w:t>
            </w:r>
          </w:p>
        </w:tc>
        <w:tc>
          <w:tcPr>
            <w:tcW w:w="1071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18</w:t>
            </w:r>
          </w:p>
        </w:tc>
        <w:tc>
          <w:tcPr>
            <w:tcW w:w="947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16</w:t>
            </w:r>
          </w:p>
        </w:tc>
        <w:tc>
          <w:tcPr>
            <w:tcW w:w="69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14</w:t>
            </w:r>
          </w:p>
        </w:tc>
        <w:tc>
          <w:tcPr>
            <w:tcW w:w="116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14.2</w:t>
            </w:r>
          </w:p>
        </w:tc>
        <w:tc>
          <w:tcPr>
            <w:tcW w:w="75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10.5</w:t>
            </w:r>
          </w:p>
        </w:tc>
        <w:tc>
          <w:tcPr>
            <w:tcW w:w="553" w:type="dxa"/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10.2</w:t>
            </w:r>
          </w:p>
        </w:tc>
        <w:tc>
          <w:tcPr>
            <w:tcW w:w="567" w:type="dxa"/>
            <w:vAlign w:val="center"/>
            <w:hideMark/>
          </w:tcPr>
          <w:p w:rsidR="00D936F8" w:rsidRPr="00CC131A" w:rsidRDefault="00CC131A" w:rsidP="00D936F8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C131A">
              <w:rPr>
                <w:rFonts w:eastAsia="Times New Roman" w:cs="Times New Roman"/>
                <w:sz w:val="16"/>
                <w:szCs w:val="16"/>
              </w:rPr>
              <w:t>9.97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 xml:space="preserve">Quarterly </w:t>
            </w:r>
          </w:p>
        </w:tc>
      </w:tr>
      <w:tr w:rsidR="00D936F8" w:rsidRPr="00941044" w:rsidTr="00E40449">
        <w:trPr>
          <w:trHeight w:val="327"/>
        </w:trPr>
        <w:tc>
          <w:tcPr>
            <w:tcW w:w="1007" w:type="dxa"/>
            <w:vMerge/>
            <w:vAlign w:val="center"/>
            <w:hideMark/>
          </w:tcPr>
          <w:p w:rsidR="00D936F8" w:rsidRPr="00941044" w:rsidRDefault="00D936F8" w:rsidP="00D936F8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1A09E9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1072DD">
              <w:rPr>
                <w:rFonts w:eastAsia="Times New Roman" w:cs="Simplified Arabic"/>
                <w:b/>
                <w:bCs/>
                <w:sz w:val="15"/>
                <w:szCs w:val="15"/>
              </w:rPr>
              <w:t>Domestic savings ratio to GDP</w:t>
            </w:r>
          </w:p>
        </w:tc>
        <w:tc>
          <w:tcPr>
            <w:tcW w:w="1071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-2.9</w:t>
            </w:r>
          </w:p>
        </w:tc>
        <w:tc>
          <w:tcPr>
            <w:tcW w:w="947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-3.3</w:t>
            </w:r>
          </w:p>
        </w:tc>
        <w:tc>
          <w:tcPr>
            <w:tcW w:w="69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-</w:t>
            </w: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1</w:t>
            </w: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.</w:t>
            </w: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1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•</w:t>
            </w:r>
          </w:p>
        </w:tc>
        <w:tc>
          <w:tcPr>
            <w:tcW w:w="116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3.1</w:t>
            </w:r>
            <w:r w:rsidRPr="00941044">
              <w:rPr>
                <w:rFonts w:eastAsia="Times New Roman" w:cs="Times New Roman"/>
              </w:rPr>
              <w:t xml:space="preserve"> </w:t>
            </w:r>
            <w:r w:rsidRPr="00E40449">
              <w:rPr>
                <w:rFonts w:eastAsia="Times New Roman" w:cs="Simplified Arabic"/>
                <w:sz w:val="16"/>
                <w:szCs w:val="16"/>
              </w:rPr>
              <w:t>•</w:t>
            </w:r>
            <w:r w:rsidRPr="00E40449">
              <w:rPr>
                <w:rFonts w:eastAsia="Times New Roman" w:cs="Times New Roman"/>
                <w:sz w:val="16"/>
                <w:szCs w:val="16"/>
              </w:rPr>
              <w:t>(2009)</w:t>
            </w:r>
          </w:p>
        </w:tc>
        <w:tc>
          <w:tcPr>
            <w:tcW w:w="75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3.1</w:t>
            </w:r>
            <w:r w:rsidRPr="00E40449">
              <w:rPr>
                <w:rFonts w:eastAsia="Times New Roman" w:cs="Simplified Arabic"/>
                <w:sz w:val="16"/>
                <w:szCs w:val="16"/>
              </w:rPr>
              <w:t>•</w:t>
            </w:r>
            <w:r w:rsidRPr="00941044">
              <w:rPr>
                <w:rFonts w:eastAsia="Times New Roman" w:cs="Times New Roman"/>
              </w:rPr>
              <w:t xml:space="preserve"> </w:t>
            </w:r>
            <w:r w:rsidRPr="00E40449">
              <w:rPr>
                <w:rFonts w:eastAsia="Times New Roman" w:cs="Times New Roman"/>
                <w:sz w:val="16"/>
                <w:szCs w:val="16"/>
              </w:rPr>
              <w:t>(2009)</w:t>
            </w:r>
          </w:p>
        </w:tc>
        <w:tc>
          <w:tcPr>
            <w:tcW w:w="553" w:type="dxa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 xml:space="preserve">annual </w:t>
            </w:r>
          </w:p>
        </w:tc>
      </w:tr>
      <w:tr w:rsidR="00D936F8" w:rsidRPr="00941044" w:rsidTr="00E40449">
        <w:trPr>
          <w:trHeight w:val="171"/>
        </w:trPr>
        <w:tc>
          <w:tcPr>
            <w:tcW w:w="1007" w:type="dxa"/>
            <w:vMerge/>
            <w:vAlign w:val="center"/>
            <w:hideMark/>
          </w:tcPr>
          <w:p w:rsidR="00D936F8" w:rsidRPr="00941044" w:rsidRDefault="00D936F8" w:rsidP="00D936F8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D936F8" w:rsidRPr="001A09E9" w:rsidRDefault="00D936F8" w:rsidP="00D936F8">
            <w:pPr>
              <w:bidi w:val="0"/>
              <w:spacing w:after="0" w:line="171" w:lineRule="atLeast"/>
              <w:rPr>
                <w:rFonts w:eastAsia="Times New Roman" w:cs="Times New Roman"/>
                <w:highlight w:val="yellow"/>
              </w:rPr>
            </w:pPr>
            <w:r w:rsidRPr="00AD3B18">
              <w:rPr>
                <w:rFonts w:eastAsia="Times New Roman" w:cs="Simplified Arabic"/>
                <w:b/>
                <w:bCs/>
                <w:sz w:val="15"/>
                <w:szCs w:val="15"/>
              </w:rPr>
              <w:t xml:space="preserve">Inflation rate </w:t>
            </w:r>
            <w:r w:rsidRPr="00AD3B18">
              <w:rPr>
                <w:rFonts w:eastAsia="Times New Roman" w:cs="Times New Roman"/>
                <w:b/>
                <w:bCs/>
                <w:sz w:val="15"/>
                <w:szCs w:val="15"/>
                <w:lang w:bidi="ar-JO"/>
              </w:rPr>
              <w:t xml:space="preserve"> </w:t>
            </w:r>
            <w:r w:rsidRPr="00AD3B18">
              <w:rPr>
                <w:rFonts w:eastAsia="Times New Roman" w:cs="Times New Roman"/>
              </w:rPr>
              <w:t xml:space="preserve"> </w:t>
            </w:r>
            <w:r w:rsidRPr="00AD3B18">
              <w:rPr>
                <w:rFonts w:eastAsia="Times New Roman" w:cs="Times New Roman"/>
                <w:sz w:val="16"/>
                <w:szCs w:val="16"/>
              </w:rPr>
              <w:t>(%)</w:t>
            </w:r>
          </w:p>
        </w:tc>
        <w:tc>
          <w:tcPr>
            <w:tcW w:w="1071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171" w:lineRule="atLeast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2.6</w:t>
            </w:r>
          </w:p>
        </w:tc>
        <w:tc>
          <w:tcPr>
            <w:tcW w:w="947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171" w:lineRule="atLeast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6.3</w:t>
            </w:r>
          </w:p>
        </w:tc>
        <w:tc>
          <w:tcPr>
            <w:tcW w:w="69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171" w:lineRule="atLeast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13.9</w:t>
            </w:r>
          </w:p>
        </w:tc>
        <w:tc>
          <w:tcPr>
            <w:tcW w:w="116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171" w:lineRule="atLeast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5</w:t>
            </w:r>
          </w:p>
        </w:tc>
        <w:tc>
          <w:tcPr>
            <w:tcW w:w="75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171" w:lineRule="atLeast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4.4</w:t>
            </w:r>
          </w:p>
        </w:tc>
        <w:tc>
          <w:tcPr>
            <w:tcW w:w="553" w:type="dxa"/>
            <w:hideMark/>
          </w:tcPr>
          <w:p w:rsidR="00D936F8" w:rsidRPr="00941044" w:rsidRDefault="00D936F8" w:rsidP="000F56A0">
            <w:pPr>
              <w:bidi w:val="0"/>
              <w:spacing w:after="0" w:line="171" w:lineRule="atLeast"/>
              <w:rPr>
                <w:rFonts w:eastAsia="Times New Roman" w:cs="Times New Roman"/>
              </w:rPr>
            </w:pP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4</w:t>
            </w: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.</w:t>
            </w: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8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D936F8" w:rsidRPr="00042251" w:rsidRDefault="005F1913" w:rsidP="00D936F8">
            <w:pPr>
              <w:bidi w:val="0"/>
              <w:spacing w:after="0" w:line="171" w:lineRule="atLeas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6.5</w:t>
            </w:r>
            <w:r w:rsidR="00042251" w:rsidRPr="0094104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D936F8" w:rsidRPr="00941044" w:rsidRDefault="00D936F8" w:rsidP="00D936F8">
            <w:pPr>
              <w:bidi w:val="0"/>
              <w:spacing w:after="0" w:line="171" w:lineRule="atLeast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Quarterly</w:t>
            </w:r>
          </w:p>
        </w:tc>
      </w:tr>
      <w:tr w:rsidR="000919F4" w:rsidRPr="00941044" w:rsidTr="000919F4">
        <w:trPr>
          <w:trHeight w:val="327"/>
        </w:trPr>
        <w:tc>
          <w:tcPr>
            <w:tcW w:w="1007" w:type="dxa"/>
            <w:vMerge/>
            <w:vAlign w:val="center"/>
            <w:hideMark/>
          </w:tcPr>
          <w:p w:rsidR="000919F4" w:rsidRPr="00941044" w:rsidRDefault="000919F4" w:rsidP="000919F4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919F4" w:rsidRPr="001A09E9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AD3B18">
              <w:rPr>
                <w:rFonts w:eastAsia="Times New Roman" w:cs="Simplified Arabic"/>
                <w:b/>
                <w:bCs/>
                <w:sz w:val="15"/>
                <w:szCs w:val="15"/>
              </w:rPr>
              <w:t>Percentage contribution of construction sector to GDP at current prices</w:t>
            </w:r>
            <w:r w:rsidRPr="00AD3B18">
              <w:rPr>
                <w:rFonts w:eastAsia="Times New Roman" w:cs="Times New Roman"/>
                <w:b/>
                <w:bCs/>
                <w:sz w:val="15"/>
                <w:szCs w:val="15"/>
                <w:lang w:bidi="ar-JO"/>
              </w:rPr>
              <w:t xml:space="preserve"> </w:t>
            </w:r>
          </w:p>
        </w:tc>
        <w:tc>
          <w:tcPr>
            <w:tcW w:w="1071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4.0</w:t>
            </w:r>
          </w:p>
        </w:tc>
        <w:tc>
          <w:tcPr>
            <w:tcW w:w="947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4.1</w:t>
            </w:r>
          </w:p>
        </w:tc>
        <w:tc>
          <w:tcPr>
            <w:tcW w:w="69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4.3</w:t>
            </w:r>
          </w:p>
        </w:tc>
        <w:tc>
          <w:tcPr>
            <w:tcW w:w="116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4.</w:t>
            </w: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8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75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4.3 •</w:t>
            </w:r>
          </w:p>
        </w:tc>
        <w:tc>
          <w:tcPr>
            <w:tcW w:w="553" w:type="dxa"/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4.</w:t>
            </w:r>
            <w:r>
              <w:rPr>
                <w:rFonts w:eastAsia="Times New Roman" w:cs="Simplified Arabic"/>
                <w:sz w:val="16"/>
                <w:szCs w:val="16"/>
              </w:rPr>
              <w:t>4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 xml:space="preserve"> •</w:t>
            </w:r>
          </w:p>
        </w:tc>
        <w:tc>
          <w:tcPr>
            <w:tcW w:w="567" w:type="dxa"/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 xml:space="preserve">annual </w:t>
            </w:r>
          </w:p>
        </w:tc>
      </w:tr>
      <w:tr w:rsidR="000919F4" w:rsidRPr="00941044" w:rsidTr="000919F4">
        <w:trPr>
          <w:trHeight w:val="331"/>
        </w:trPr>
        <w:tc>
          <w:tcPr>
            <w:tcW w:w="1007" w:type="dxa"/>
            <w:vMerge/>
            <w:vAlign w:val="center"/>
            <w:hideMark/>
          </w:tcPr>
          <w:p w:rsidR="000919F4" w:rsidRPr="00941044" w:rsidRDefault="000919F4" w:rsidP="000919F4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919F4" w:rsidRPr="001A09E9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536FCE">
              <w:rPr>
                <w:rFonts w:eastAsia="Times New Roman" w:cs="Simplified Arabic"/>
                <w:b/>
                <w:bCs/>
                <w:sz w:val="15"/>
                <w:szCs w:val="15"/>
              </w:rPr>
              <w:t>Rati</w:t>
            </w:r>
            <w:r>
              <w:rPr>
                <w:rFonts w:eastAsia="Times New Roman" w:cs="Simplified Arabic"/>
                <w:b/>
                <w:bCs/>
                <w:sz w:val="15"/>
                <w:szCs w:val="15"/>
              </w:rPr>
              <w:t>o of</w:t>
            </w:r>
            <w:r w:rsidRPr="00536FCE">
              <w:rPr>
                <w:rFonts w:eastAsia="Times New Roman" w:cs="Simplified Arabic"/>
                <w:b/>
                <w:bCs/>
                <w:sz w:val="15"/>
                <w:szCs w:val="15"/>
              </w:rPr>
              <w:t xml:space="preserve"> Contribution of construction sector</w:t>
            </w:r>
            <w:r>
              <w:rPr>
                <w:rFonts w:eastAsia="Times New Roman" w:cs="Simplified Arabic"/>
                <w:b/>
                <w:bCs/>
                <w:sz w:val="15"/>
                <w:szCs w:val="15"/>
              </w:rPr>
              <w:t xml:space="preserve"> </w:t>
            </w:r>
            <w:r w:rsidRPr="00536FCE">
              <w:rPr>
                <w:rFonts w:eastAsia="Times New Roman" w:cs="Simplified Arabic"/>
                <w:b/>
                <w:bCs/>
                <w:sz w:val="15"/>
                <w:szCs w:val="15"/>
              </w:rPr>
              <w:t xml:space="preserve">(residential buildings) in </w:t>
            </w:r>
            <w:r>
              <w:rPr>
                <w:rFonts w:eastAsia="Times New Roman" w:cs="Simplified Arabic"/>
                <w:b/>
                <w:bCs/>
                <w:sz w:val="15"/>
                <w:szCs w:val="15"/>
              </w:rPr>
              <w:t>G</w:t>
            </w:r>
            <w:r w:rsidRPr="00536FCE">
              <w:rPr>
                <w:rFonts w:eastAsia="Times New Roman" w:cs="Simplified Arabic"/>
                <w:b/>
                <w:bCs/>
                <w:sz w:val="15"/>
                <w:szCs w:val="15"/>
              </w:rPr>
              <w:t xml:space="preserve">ross </w:t>
            </w:r>
            <w:r>
              <w:rPr>
                <w:rFonts w:eastAsia="Times New Roman" w:cs="Simplified Arabic"/>
                <w:b/>
                <w:bCs/>
                <w:sz w:val="15"/>
                <w:szCs w:val="15"/>
              </w:rPr>
              <w:t>Fi</w:t>
            </w:r>
            <w:r w:rsidRPr="00536FCE">
              <w:rPr>
                <w:rFonts w:eastAsia="Times New Roman" w:cs="Simplified Arabic"/>
                <w:b/>
                <w:bCs/>
                <w:sz w:val="15"/>
                <w:szCs w:val="15"/>
              </w:rPr>
              <w:t xml:space="preserve">xed </w:t>
            </w:r>
            <w:r>
              <w:rPr>
                <w:rFonts w:eastAsia="Times New Roman" w:cs="Simplified Arabic"/>
                <w:b/>
                <w:bCs/>
                <w:sz w:val="15"/>
                <w:szCs w:val="15"/>
              </w:rPr>
              <w:t>C</w:t>
            </w:r>
            <w:r w:rsidRPr="00536FCE">
              <w:rPr>
                <w:rFonts w:eastAsia="Times New Roman" w:cs="Simplified Arabic"/>
                <w:b/>
                <w:bCs/>
                <w:sz w:val="15"/>
                <w:szCs w:val="15"/>
              </w:rPr>
              <w:t xml:space="preserve">apital </w:t>
            </w:r>
            <w:r>
              <w:rPr>
                <w:rFonts w:eastAsia="Times New Roman" w:cs="Simplified Arabic"/>
                <w:b/>
                <w:bCs/>
                <w:sz w:val="15"/>
                <w:szCs w:val="15"/>
              </w:rPr>
              <w:t>F</w:t>
            </w:r>
            <w:r w:rsidRPr="00536FCE">
              <w:rPr>
                <w:rFonts w:eastAsia="Times New Roman" w:cs="Simplified Arabic"/>
                <w:b/>
                <w:bCs/>
                <w:sz w:val="15"/>
                <w:szCs w:val="15"/>
              </w:rPr>
              <w:t>ormation</w:t>
            </w:r>
            <w:r w:rsidRPr="00565214">
              <w:rPr>
                <w:rFonts w:eastAsia="Times New Roman" w:cs="Simplified Arabic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071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42.3</w:t>
            </w:r>
          </w:p>
        </w:tc>
        <w:tc>
          <w:tcPr>
            <w:tcW w:w="947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44.9</w:t>
            </w:r>
            <w:r w:rsidRPr="00941044">
              <w:rPr>
                <w:rStyle w:val="FootnoteReference"/>
                <w:rFonts w:eastAsia="Times New Roman" w:cs="Times New Roman"/>
              </w:rPr>
              <w:footnoteReference w:id="2"/>
            </w:r>
          </w:p>
        </w:tc>
        <w:tc>
          <w:tcPr>
            <w:tcW w:w="69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44</w:t>
            </w:r>
            <w:r w:rsidRPr="00E40449">
              <w:rPr>
                <w:rFonts w:eastAsia="Times New Roman" w:cs="Simplified Arabic"/>
                <w:sz w:val="16"/>
                <w:szCs w:val="16"/>
              </w:rPr>
              <w:t>•</w:t>
            </w:r>
          </w:p>
        </w:tc>
        <w:tc>
          <w:tcPr>
            <w:tcW w:w="116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42.8</w:t>
            </w:r>
            <w:r w:rsidRPr="00E40449">
              <w:rPr>
                <w:rFonts w:eastAsia="Times New Roman" w:cs="Simplified Arabic"/>
                <w:sz w:val="16"/>
                <w:szCs w:val="16"/>
              </w:rPr>
              <w:t>•</w:t>
            </w:r>
            <w:r w:rsidRPr="00941044">
              <w:rPr>
                <w:rFonts w:eastAsia="Times New Roman" w:cs="Times New Roman"/>
              </w:rPr>
              <w:t xml:space="preserve"> </w:t>
            </w:r>
            <w:r w:rsidRPr="00E40449">
              <w:rPr>
                <w:rFonts w:eastAsia="Times New Roman" w:cs="Times New Roman"/>
                <w:sz w:val="16"/>
                <w:szCs w:val="16"/>
              </w:rPr>
              <w:t>(2009)</w:t>
            </w:r>
          </w:p>
        </w:tc>
        <w:tc>
          <w:tcPr>
            <w:tcW w:w="75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42.8</w:t>
            </w:r>
            <w:r w:rsidRPr="00E40449">
              <w:rPr>
                <w:rFonts w:eastAsia="Times New Roman" w:cs="Simplified Arabic"/>
                <w:sz w:val="16"/>
                <w:szCs w:val="16"/>
              </w:rPr>
              <w:t>•</w:t>
            </w:r>
            <w:r w:rsidRPr="00941044">
              <w:rPr>
                <w:rFonts w:eastAsia="Times New Roman" w:cs="Times New Roman"/>
              </w:rPr>
              <w:t xml:space="preserve"> </w:t>
            </w:r>
            <w:r w:rsidRPr="00E40449">
              <w:rPr>
                <w:rFonts w:eastAsia="Times New Roman" w:cs="Times New Roman"/>
                <w:sz w:val="16"/>
                <w:szCs w:val="16"/>
              </w:rPr>
              <w:t>(2009)</w:t>
            </w:r>
          </w:p>
        </w:tc>
        <w:tc>
          <w:tcPr>
            <w:tcW w:w="553" w:type="dxa"/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 xml:space="preserve">annual </w:t>
            </w:r>
          </w:p>
        </w:tc>
      </w:tr>
      <w:tr w:rsidR="000919F4" w:rsidRPr="00941044" w:rsidTr="008617B8">
        <w:trPr>
          <w:trHeight w:val="331"/>
        </w:trPr>
        <w:tc>
          <w:tcPr>
            <w:tcW w:w="1007" w:type="dxa"/>
            <w:vMerge/>
            <w:vAlign w:val="center"/>
            <w:hideMark/>
          </w:tcPr>
          <w:p w:rsidR="000919F4" w:rsidRPr="00941044" w:rsidRDefault="000919F4" w:rsidP="000919F4">
            <w:pPr>
              <w:bidi w:val="0"/>
              <w:rPr>
                <w:rFonts w:eastAsia="Times New Roman" w:cs="Times New Roman"/>
              </w:rPr>
            </w:pPr>
          </w:p>
        </w:tc>
        <w:tc>
          <w:tcPr>
            <w:tcW w:w="3256" w:type="dxa"/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919F4" w:rsidRPr="001A09E9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>
              <w:rPr>
                <w:rFonts w:eastAsia="Times New Roman" w:cs="Simplified Arabic"/>
                <w:b/>
                <w:bCs/>
                <w:sz w:val="15"/>
                <w:szCs w:val="15"/>
              </w:rPr>
              <w:t>V</w:t>
            </w:r>
            <w:r w:rsidRPr="006254D3">
              <w:rPr>
                <w:rFonts w:eastAsia="Times New Roman" w:cs="Simplified Arabic"/>
                <w:b/>
                <w:bCs/>
                <w:sz w:val="15"/>
                <w:szCs w:val="15"/>
              </w:rPr>
              <w:t>alue added of the construction sector at current prices (M JD)</w:t>
            </w:r>
          </w:p>
        </w:tc>
        <w:tc>
          <w:tcPr>
            <w:tcW w:w="1071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324.4</w:t>
            </w:r>
          </w:p>
        </w:tc>
        <w:tc>
          <w:tcPr>
            <w:tcW w:w="947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429.0</w:t>
            </w:r>
          </w:p>
        </w:tc>
        <w:tc>
          <w:tcPr>
            <w:tcW w:w="69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697.9</w:t>
            </w:r>
          </w:p>
        </w:tc>
        <w:tc>
          <w:tcPr>
            <w:tcW w:w="1166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8</w:t>
            </w: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96</w:t>
            </w: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.</w:t>
            </w: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2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75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919F4" w:rsidRPr="00BC6430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6430">
              <w:rPr>
                <w:rFonts w:eastAsia="Times New Roman" w:cs="Simplified Arabic"/>
                <w:sz w:val="16"/>
                <w:szCs w:val="16"/>
              </w:rPr>
              <w:t> </w:t>
            </w:r>
            <w:r w:rsidRPr="00BC6430">
              <w:rPr>
                <w:rFonts w:eastAsia="Times New Roman" w:cs="Times New Roman"/>
                <w:sz w:val="16"/>
                <w:szCs w:val="16"/>
              </w:rPr>
              <w:t>888.0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553" w:type="dxa"/>
            <w:vAlign w:val="center"/>
            <w:hideMark/>
          </w:tcPr>
          <w:p w:rsidR="000919F4" w:rsidRPr="000919F4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0919F4">
              <w:rPr>
                <w:rFonts w:eastAsia="Times New Roman" w:cs="Simplified Arabic"/>
                <w:sz w:val="16"/>
                <w:szCs w:val="16"/>
                <w:lang w:bidi="ar-JO"/>
              </w:rPr>
              <w:t> </w:t>
            </w:r>
            <w:r w:rsidRPr="000919F4">
              <w:rPr>
                <w:rFonts w:eastAsia="Times New Roman" w:cs="Times New Roman"/>
                <w:sz w:val="16"/>
                <w:szCs w:val="16"/>
              </w:rPr>
              <w:t>961.7</w:t>
            </w:r>
            <w:r w:rsidRPr="000919F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0919F4" w:rsidRPr="00BC6430" w:rsidRDefault="000919F4" w:rsidP="000919F4">
            <w:pPr>
              <w:bidi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0919F4" w:rsidRPr="00941044" w:rsidRDefault="000919F4" w:rsidP="000919F4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 xml:space="preserve">annual </w:t>
            </w:r>
          </w:p>
        </w:tc>
      </w:tr>
    </w:tbl>
    <w:p w:rsidR="00FA7DBA" w:rsidRPr="00A21DDB" w:rsidRDefault="00FA7DBA" w:rsidP="00E35E4C">
      <w:pPr>
        <w:bidi w:val="0"/>
        <w:spacing w:after="0" w:line="240" w:lineRule="auto"/>
        <w:ind w:right="-902"/>
        <w:jc w:val="center"/>
        <w:rPr>
          <w:rFonts w:ascii="Calibri" w:eastAsia="Times New Roman" w:hAnsi="Calibri" w:cs="Times New Roman"/>
          <w:b/>
          <w:bCs/>
        </w:rPr>
      </w:pPr>
      <w:r w:rsidRPr="00A21DDB">
        <w:rPr>
          <w:rFonts w:ascii="Calibri" w:eastAsia="Times New Roman" w:hAnsi="Calibri" w:cs="Simplified Arabic" w:hint="cs"/>
          <w:b/>
          <w:bCs/>
          <w:sz w:val="28"/>
          <w:szCs w:val="28"/>
        </w:rPr>
        <w:t>Urban</w:t>
      </w:r>
      <w:r w:rsidR="00A21DDB" w:rsidRPr="00A21DDB">
        <w:rPr>
          <w:rFonts w:ascii="Calibri" w:eastAsia="Times New Roman" w:hAnsi="Calibri" w:cs="Simplified Arabic"/>
          <w:b/>
          <w:bCs/>
          <w:sz w:val="28"/>
          <w:szCs w:val="28"/>
        </w:rPr>
        <w:t xml:space="preserve"> and </w:t>
      </w:r>
      <w:r w:rsidR="00A21DDB" w:rsidRPr="00A21DDB">
        <w:rPr>
          <w:rFonts w:eastAsia="Times New Roman" w:cs="Simplified Arabic"/>
          <w:b/>
          <w:bCs/>
          <w:sz w:val="28"/>
          <w:szCs w:val="28"/>
        </w:rPr>
        <w:t>Housing</w:t>
      </w:r>
      <w:r w:rsidRPr="00A21DDB">
        <w:rPr>
          <w:rFonts w:ascii="Calibri" w:eastAsia="Times New Roman" w:hAnsi="Calibri" w:cs="Simplified Arabic" w:hint="cs"/>
          <w:b/>
          <w:bCs/>
          <w:sz w:val="28"/>
          <w:szCs w:val="28"/>
        </w:rPr>
        <w:t xml:space="preserve"> </w:t>
      </w:r>
      <w:r w:rsidR="00E35E4C">
        <w:rPr>
          <w:rFonts w:ascii="Calibri" w:eastAsia="Times New Roman" w:hAnsi="Calibri" w:cs="Simplified Arabic"/>
          <w:b/>
          <w:bCs/>
          <w:sz w:val="28"/>
          <w:szCs w:val="28"/>
        </w:rPr>
        <w:t>I</w:t>
      </w:r>
      <w:r w:rsidRPr="00A21DDB">
        <w:rPr>
          <w:rFonts w:ascii="Calibri" w:eastAsia="Times New Roman" w:hAnsi="Calibri" w:cs="Simplified Arabic" w:hint="cs"/>
          <w:b/>
          <w:bCs/>
          <w:sz w:val="28"/>
          <w:szCs w:val="28"/>
        </w:rPr>
        <w:t>ndicators</w:t>
      </w:r>
    </w:p>
    <w:p w:rsidR="00A21DDB" w:rsidRPr="00A21DDB" w:rsidRDefault="00A21DDB" w:rsidP="00CE61D5">
      <w:pPr>
        <w:bidi w:val="0"/>
        <w:spacing w:after="0" w:line="240" w:lineRule="auto"/>
        <w:ind w:left="-1418" w:right="-902"/>
        <w:rPr>
          <w:rFonts w:ascii="Calibri" w:eastAsia="Times New Roman" w:hAnsi="Calibri" w:cs="Times New Roman"/>
          <w:b/>
          <w:bCs/>
        </w:rPr>
      </w:pPr>
      <w:r w:rsidRPr="00A21DDB">
        <w:rPr>
          <w:rFonts w:ascii="Calibri" w:eastAsia="Times New Roman" w:hAnsi="Calibri" w:cs="Simplified Arabic" w:hint="cs"/>
          <w:b/>
          <w:bCs/>
          <w:sz w:val="28"/>
          <w:szCs w:val="28"/>
        </w:rPr>
        <w:t>Urban indicators</w:t>
      </w:r>
      <w:r>
        <w:rPr>
          <w:rFonts w:ascii="Calibri" w:eastAsia="Times New Roman" w:hAnsi="Calibri" w:cs="Times New Roman"/>
          <w:b/>
          <w:bCs/>
        </w:rPr>
        <w:t xml:space="preserve">     </w:t>
      </w:r>
      <w:r w:rsidR="007C5BA1">
        <w:rPr>
          <w:rFonts w:ascii="Calibri" w:eastAsia="Times New Roman" w:hAnsi="Calibri" w:cs="Times New Roman"/>
          <w:b/>
          <w:bCs/>
        </w:rPr>
        <w:t xml:space="preserve">                                                                                 </w:t>
      </w:r>
      <w:r w:rsidR="005A2D06">
        <w:rPr>
          <w:rFonts w:ascii="Calibri" w:eastAsia="Times New Roman" w:hAnsi="Calibri" w:cs="Times New Roman"/>
          <w:b/>
          <w:bCs/>
        </w:rPr>
        <w:t xml:space="preserve">                 </w:t>
      </w:r>
      <w:r w:rsidR="002D4EE1">
        <w:rPr>
          <w:rFonts w:ascii="Calibri" w:eastAsia="Times New Roman" w:hAnsi="Calibri" w:cs="Times New Roman"/>
          <w:b/>
          <w:bCs/>
        </w:rPr>
        <w:t xml:space="preserve">               </w:t>
      </w:r>
      <w:r w:rsidR="005A2D06">
        <w:rPr>
          <w:rFonts w:ascii="Calibri" w:eastAsia="Times New Roman" w:hAnsi="Calibri" w:cs="Times New Roman"/>
          <w:b/>
          <w:bCs/>
        </w:rPr>
        <w:t xml:space="preserve">               Release Date</w:t>
      </w:r>
      <w:r w:rsidR="005A2D06" w:rsidRPr="00C00FA2">
        <w:rPr>
          <w:rFonts w:ascii="Calibri" w:eastAsia="Times New Roman" w:hAnsi="Calibri" w:cs="Times New Roman"/>
        </w:rPr>
        <w:t>:</w:t>
      </w:r>
      <w:r w:rsidR="007C5BA1" w:rsidRPr="00C00FA2">
        <w:rPr>
          <w:rFonts w:ascii="Calibri" w:eastAsia="Times New Roman" w:hAnsi="Calibri" w:cs="Times New Roman"/>
        </w:rPr>
        <w:t xml:space="preserve"> </w:t>
      </w:r>
      <w:r w:rsidR="00CE61D5">
        <w:rPr>
          <w:rFonts w:ascii="Calibri" w:eastAsia="Times New Roman" w:hAnsi="Calibri" w:cs="Times New Roman"/>
          <w:b/>
          <w:bCs/>
        </w:rPr>
        <w:t>8</w:t>
      </w:r>
      <w:r w:rsidR="007C5BA1">
        <w:rPr>
          <w:rFonts w:ascii="Calibri" w:eastAsia="Times New Roman" w:hAnsi="Calibri" w:cs="Times New Roman"/>
          <w:b/>
          <w:bCs/>
        </w:rPr>
        <w:t>/201</w:t>
      </w:r>
      <w:r w:rsidR="001059F7">
        <w:rPr>
          <w:rFonts w:ascii="Calibri" w:eastAsia="Times New Roman" w:hAnsi="Calibri" w:cs="Times New Roman"/>
          <w:b/>
          <w:bCs/>
        </w:rPr>
        <w:t>3</w:t>
      </w:r>
      <w:r>
        <w:rPr>
          <w:rFonts w:ascii="Calibri" w:eastAsia="Times New Roman" w:hAnsi="Calibri" w:cs="Times New Roman"/>
          <w:b/>
          <w:bCs/>
        </w:rPr>
        <w:t xml:space="preserve">    </w:t>
      </w:r>
    </w:p>
    <w:p w:rsidR="00A21DDB" w:rsidRPr="00FA7DBA" w:rsidRDefault="00A21DDB" w:rsidP="00A21DDB">
      <w:pPr>
        <w:bidi w:val="0"/>
        <w:spacing w:after="0" w:line="240" w:lineRule="auto"/>
        <w:ind w:right="-902"/>
        <w:jc w:val="center"/>
        <w:rPr>
          <w:rFonts w:ascii="Calibri" w:eastAsia="Times New Roman" w:hAnsi="Calibri" w:cs="Times New Roman"/>
        </w:rPr>
      </w:pPr>
    </w:p>
    <w:p w:rsidR="00FA7DBA" w:rsidRPr="00FA7DBA" w:rsidRDefault="00FA7DBA" w:rsidP="00FA7DBA">
      <w:pPr>
        <w:bidi w:val="0"/>
        <w:spacing w:after="0" w:line="240" w:lineRule="auto"/>
        <w:rPr>
          <w:rFonts w:ascii="Calibri" w:eastAsia="Times New Roman" w:hAnsi="Calibri" w:cs="Times New Roman"/>
        </w:rPr>
      </w:pPr>
      <w:r w:rsidRPr="00FA7DBA">
        <w:rPr>
          <w:rFonts w:ascii="Calibri" w:eastAsia="Times New Roman" w:hAnsi="Calibri" w:cs="Times New Roman"/>
          <w:sz w:val="6"/>
          <w:szCs w:val="6"/>
        </w:rPr>
        <w:t> </w:t>
      </w:r>
    </w:p>
    <w:p w:rsidR="00FA7DBA" w:rsidRPr="00FA7DBA" w:rsidRDefault="00FA7DBA" w:rsidP="00FA7DBA">
      <w:pPr>
        <w:bidi w:val="0"/>
        <w:spacing w:after="0" w:line="240" w:lineRule="auto"/>
        <w:rPr>
          <w:rFonts w:ascii="Calibri" w:eastAsia="Times New Roman" w:hAnsi="Calibri" w:cs="Times New Roman"/>
        </w:rPr>
      </w:pPr>
      <w:r w:rsidRPr="00FA7DBA">
        <w:rPr>
          <w:rFonts w:ascii="Calibri" w:eastAsia="Times New Roman" w:hAnsi="Calibri" w:cs="Simplified Arabic" w:hint="cs"/>
          <w:sz w:val="10"/>
          <w:szCs w:val="10"/>
          <w:lang w:bidi="ar-JO"/>
        </w:rPr>
        <w:t> </w:t>
      </w:r>
    </w:p>
    <w:p w:rsidR="00FA7DBA" w:rsidRPr="00FA7DBA" w:rsidRDefault="00FA7DBA" w:rsidP="00FA7DBA">
      <w:pPr>
        <w:bidi w:val="0"/>
        <w:spacing w:after="0" w:line="240" w:lineRule="auto"/>
        <w:ind w:right="360"/>
        <w:rPr>
          <w:rFonts w:ascii="Calibri" w:eastAsia="Times New Roman" w:hAnsi="Calibri" w:cs="Times New Roman"/>
        </w:rPr>
      </w:pPr>
      <w:r w:rsidRPr="00FA7DBA">
        <w:rPr>
          <w:rFonts w:ascii="Calibri" w:eastAsia="Times New Roman" w:hAnsi="Calibri" w:cs="Simplified Arabic" w:hint="cs"/>
          <w:b/>
          <w:bCs/>
          <w:sz w:val="14"/>
          <w:szCs w:val="14"/>
        </w:rPr>
        <w:t>Source:</w:t>
      </w:r>
    </w:p>
    <w:p w:rsidR="00FA7DBA" w:rsidRPr="00FA7DBA" w:rsidRDefault="00FA7DBA" w:rsidP="00D46C6D">
      <w:pPr>
        <w:tabs>
          <w:tab w:val="right" w:pos="0"/>
        </w:tabs>
        <w:bidi w:val="0"/>
        <w:spacing w:after="0" w:line="240" w:lineRule="auto"/>
        <w:ind w:right="720" w:hanging="17"/>
        <w:rPr>
          <w:rFonts w:ascii="Calibri" w:eastAsia="Times New Roman" w:hAnsi="Calibri" w:cs="Times New Roman"/>
        </w:rPr>
      </w:pPr>
      <w:proofErr w:type="gramStart"/>
      <w:r w:rsidRPr="00FA7DBA">
        <w:rPr>
          <w:rFonts w:ascii="Symbol" w:eastAsia="Times New Roman" w:hAnsi="Symbol" w:cs="Times New Roman"/>
          <w:sz w:val="12"/>
          <w:szCs w:val="12"/>
        </w:rPr>
        <w:t></w:t>
      </w:r>
      <w:r w:rsidRPr="00FA7DB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A7DBA">
        <w:rPr>
          <w:rFonts w:ascii="Calibri" w:eastAsia="Times New Roman" w:hAnsi="Calibri" w:cs="Simplified Arabic" w:hint="cs"/>
          <w:sz w:val="12"/>
          <w:szCs w:val="12"/>
        </w:rPr>
        <w:t>Data (2004) from the General Census of population and housing each year.</w:t>
      </w:r>
      <w:proofErr w:type="gramEnd"/>
    </w:p>
    <w:p w:rsidR="00FA7DBA" w:rsidRPr="00FA7DBA" w:rsidRDefault="00FA7DBA" w:rsidP="009A4F90">
      <w:pPr>
        <w:tabs>
          <w:tab w:val="right" w:pos="0"/>
          <w:tab w:val="right" w:pos="142"/>
        </w:tabs>
        <w:bidi w:val="0"/>
        <w:spacing w:after="0" w:line="240" w:lineRule="auto"/>
        <w:ind w:right="720" w:hanging="17"/>
        <w:rPr>
          <w:rFonts w:ascii="Calibri" w:eastAsia="Times New Roman" w:hAnsi="Calibri" w:cs="Times New Roman"/>
        </w:rPr>
      </w:pPr>
      <w:r w:rsidRPr="00FA7DBA">
        <w:rPr>
          <w:rFonts w:ascii="Symbol" w:eastAsia="Times New Roman" w:hAnsi="Symbol" w:cs="Times New Roman"/>
          <w:sz w:val="12"/>
          <w:szCs w:val="12"/>
        </w:rPr>
        <w:t></w:t>
      </w:r>
      <w:r w:rsidRPr="00FA7DB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A7DBA">
        <w:rPr>
          <w:rFonts w:ascii="Calibri" w:eastAsia="Times New Roman" w:hAnsi="Calibri" w:cs="Simplified Arabic" w:hint="cs"/>
          <w:sz w:val="12"/>
          <w:szCs w:val="12"/>
        </w:rPr>
        <w:t>Poverty data: report of the poverty situation in Jordan (2010)</w:t>
      </w:r>
      <w:r w:rsidR="00D46C6D">
        <w:rPr>
          <w:rFonts w:ascii="Calibri" w:eastAsia="Times New Roman" w:hAnsi="Calibri" w:cs="Simplified Arabic"/>
          <w:sz w:val="12"/>
          <w:szCs w:val="12"/>
        </w:rPr>
        <w:t>, (2012)</w:t>
      </w:r>
      <w:r w:rsidRPr="00FA7DBA">
        <w:rPr>
          <w:rFonts w:ascii="Calibri" w:eastAsia="Times New Roman" w:hAnsi="Calibri" w:cs="Simplified Arabic" w:hint="cs"/>
          <w:sz w:val="12"/>
          <w:szCs w:val="12"/>
        </w:rPr>
        <w:t xml:space="preserve"> – website/Department of statistics.</w:t>
      </w:r>
    </w:p>
    <w:p w:rsidR="00FA7DBA" w:rsidRPr="00FA7DBA" w:rsidRDefault="00FA7DBA" w:rsidP="00FA7DBA">
      <w:pPr>
        <w:bidi w:val="0"/>
        <w:spacing w:after="0" w:line="240" w:lineRule="auto"/>
        <w:ind w:right="720" w:hanging="17"/>
        <w:rPr>
          <w:rFonts w:ascii="Calibri" w:eastAsia="Times New Roman" w:hAnsi="Calibri" w:cs="Times New Roman"/>
        </w:rPr>
      </w:pPr>
      <w:r w:rsidRPr="00FA7DBA">
        <w:rPr>
          <w:rFonts w:ascii="Symbol" w:eastAsia="Times New Roman" w:hAnsi="Symbol" w:cs="Times New Roman"/>
          <w:sz w:val="12"/>
          <w:szCs w:val="12"/>
        </w:rPr>
        <w:t></w:t>
      </w:r>
      <w:r w:rsidRPr="00FA7DB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A7DBA">
        <w:rPr>
          <w:rFonts w:ascii="Calibri" w:eastAsia="Times New Roman" w:hAnsi="Calibri" w:cs="Simplified Arabic" w:hint="cs"/>
          <w:sz w:val="12"/>
          <w:szCs w:val="12"/>
        </w:rPr>
        <w:t>Reports of Jordan (2006), (2007), (2009)</w:t>
      </w:r>
      <w:r w:rsidR="00B84BBF">
        <w:rPr>
          <w:rFonts w:ascii="Calibri" w:eastAsia="Times New Roman" w:hAnsi="Calibri" w:cs="Simplified Arabic"/>
          <w:sz w:val="12"/>
          <w:szCs w:val="12"/>
        </w:rPr>
        <w:t>,</w:t>
      </w:r>
      <w:r w:rsidRPr="00FA7DBA">
        <w:rPr>
          <w:rFonts w:ascii="Calibri" w:eastAsia="Times New Roman" w:hAnsi="Calibri" w:cs="Simplified Arabic" w:hint="cs"/>
          <w:sz w:val="12"/>
          <w:szCs w:val="12"/>
        </w:rPr>
        <w:t xml:space="preserve"> (2010)</w:t>
      </w:r>
      <w:r w:rsidR="00B84BBF">
        <w:rPr>
          <w:rFonts w:ascii="Calibri" w:eastAsia="Times New Roman" w:hAnsi="Calibri" w:cs="Simplified Arabic"/>
          <w:sz w:val="12"/>
          <w:szCs w:val="12"/>
        </w:rPr>
        <w:t>, (2011)</w:t>
      </w:r>
      <w:r w:rsidR="00197D0E">
        <w:rPr>
          <w:rFonts w:ascii="Calibri" w:eastAsia="Times New Roman" w:hAnsi="Calibri" w:cs="Simplified Arabic"/>
          <w:sz w:val="12"/>
          <w:szCs w:val="12"/>
        </w:rPr>
        <w:t xml:space="preserve">, (2012) </w:t>
      </w:r>
      <w:r w:rsidRPr="00FA7DBA">
        <w:rPr>
          <w:rFonts w:ascii="Calibri" w:eastAsia="Times New Roman" w:hAnsi="Calibri" w:cs="Simplified Arabic" w:hint="cs"/>
          <w:sz w:val="12"/>
          <w:szCs w:val="12"/>
        </w:rPr>
        <w:t>/Department of statistics.</w:t>
      </w:r>
    </w:p>
    <w:p w:rsidR="00FA7DBA" w:rsidRPr="00FA7DBA" w:rsidRDefault="00FA7DBA" w:rsidP="00FA7DBA">
      <w:pPr>
        <w:bidi w:val="0"/>
        <w:spacing w:after="0" w:line="240" w:lineRule="auto"/>
        <w:ind w:right="720" w:hanging="17"/>
        <w:rPr>
          <w:rFonts w:ascii="Calibri" w:eastAsia="Times New Roman" w:hAnsi="Calibri" w:cs="Times New Roman"/>
        </w:rPr>
      </w:pPr>
      <w:proofErr w:type="gramStart"/>
      <w:r w:rsidRPr="00FA7DBA">
        <w:rPr>
          <w:rFonts w:ascii="Symbol" w:eastAsia="Times New Roman" w:hAnsi="Symbol" w:cs="Times New Roman"/>
          <w:sz w:val="12"/>
          <w:szCs w:val="12"/>
        </w:rPr>
        <w:t></w:t>
      </w:r>
      <w:r w:rsidRPr="00FA7DBA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FA7DBA">
        <w:rPr>
          <w:rFonts w:ascii="Calibri" w:eastAsia="Times New Roman" w:hAnsi="Calibri" w:cs="Simplified Arabic" w:hint="cs"/>
          <w:sz w:val="12"/>
          <w:szCs w:val="12"/>
        </w:rPr>
        <w:t>Statistical Yearbook 2008, 2009, 2010</w:t>
      </w:r>
      <w:r w:rsidR="00FB589E">
        <w:rPr>
          <w:rFonts w:ascii="Calibri" w:eastAsia="Times New Roman" w:hAnsi="Calibri" w:cs="Simplified Arabic"/>
          <w:sz w:val="12"/>
          <w:szCs w:val="12"/>
        </w:rPr>
        <w:t>, 2011</w:t>
      </w:r>
      <w:r w:rsidRPr="00FA7DBA">
        <w:rPr>
          <w:rFonts w:ascii="Calibri" w:eastAsia="Times New Roman" w:hAnsi="Calibri" w:cs="Simplified Arabic" w:hint="cs"/>
          <w:sz w:val="12"/>
          <w:szCs w:val="12"/>
        </w:rPr>
        <w:t>-Department of statistics.</w:t>
      </w:r>
      <w:proofErr w:type="gramEnd"/>
    </w:p>
    <w:p w:rsidR="00FA7DBA" w:rsidRPr="00FA7DBA" w:rsidRDefault="00FA7DBA" w:rsidP="00C03E5D">
      <w:pPr>
        <w:bidi w:val="0"/>
        <w:spacing w:after="0" w:line="240" w:lineRule="auto"/>
        <w:ind w:left="142" w:right="720" w:hanging="159"/>
        <w:rPr>
          <w:rFonts w:ascii="Calibri" w:eastAsia="Times New Roman" w:hAnsi="Calibri" w:cs="Times New Roman"/>
        </w:rPr>
      </w:pPr>
      <w:r w:rsidRPr="00FA7DBA">
        <w:rPr>
          <w:rFonts w:ascii="Symbol" w:eastAsia="Times New Roman" w:hAnsi="Symbol" w:cs="Times New Roman"/>
          <w:sz w:val="12"/>
          <w:szCs w:val="12"/>
        </w:rPr>
        <w:t></w:t>
      </w:r>
      <w:r w:rsidRPr="00FA7DBA">
        <w:rPr>
          <w:rFonts w:ascii="Times New Roman" w:eastAsia="Times New Roman" w:hAnsi="Times New Roman" w:cs="Times New Roman"/>
          <w:sz w:val="14"/>
          <w:szCs w:val="14"/>
        </w:rPr>
        <w:t> </w:t>
      </w:r>
      <w:proofErr w:type="gramStart"/>
      <w:r w:rsidRPr="00FA7DBA">
        <w:rPr>
          <w:rFonts w:ascii="Calibri" w:eastAsia="Times New Roman" w:hAnsi="Calibri" w:cs="Simplified Arabic" w:hint="cs"/>
          <w:sz w:val="12"/>
          <w:szCs w:val="12"/>
          <w:lang w:bidi="ar-JO"/>
        </w:rPr>
        <w:t>The</w:t>
      </w:r>
      <w:proofErr w:type="gramEnd"/>
      <w:r w:rsidRPr="00FA7DBA">
        <w:rPr>
          <w:rFonts w:ascii="Calibri" w:eastAsia="Times New Roman" w:hAnsi="Calibri" w:cs="Simplified Arabic" w:hint="cs"/>
          <w:sz w:val="12"/>
          <w:szCs w:val="12"/>
          <w:lang w:bidi="ar-JO"/>
        </w:rPr>
        <w:t xml:space="preserve"> strategy against poverty and its Executive years (2011-2013)/general framework of axis infrastructure and housing. Ministry of planning and international cooperation.</w:t>
      </w:r>
    </w:p>
    <w:p w:rsidR="00FA7DBA" w:rsidRPr="00FA7DBA" w:rsidRDefault="00FA7DBA" w:rsidP="00FA7DBA">
      <w:pPr>
        <w:bidi w:val="0"/>
        <w:spacing w:after="0" w:line="240" w:lineRule="auto"/>
        <w:ind w:right="720" w:hanging="17"/>
        <w:rPr>
          <w:rFonts w:ascii="Calibri" w:eastAsia="Times New Roman" w:hAnsi="Calibri" w:cs="Times New Roman"/>
        </w:rPr>
      </w:pPr>
      <w:r w:rsidRPr="00FA7DBA">
        <w:rPr>
          <w:rFonts w:ascii="Symbol" w:eastAsia="Times New Roman" w:hAnsi="Symbol" w:cs="Times New Roman"/>
          <w:sz w:val="12"/>
          <w:szCs w:val="12"/>
        </w:rPr>
        <w:t></w:t>
      </w:r>
      <w:r w:rsidRPr="00FA7DB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A7DBA">
        <w:rPr>
          <w:rFonts w:ascii="Calibri" w:eastAsia="Times New Roman" w:hAnsi="Calibri" w:cs="Simplified Arabic" w:hint="cs"/>
          <w:sz w:val="12"/>
          <w:szCs w:val="12"/>
        </w:rPr>
        <w:t>Jordanian Central Bank releases for years</w:t>
      </w:r>
      <w:r w:rsidR="00B84BBF">
        <w:rPr>
          <w:rFonts w:ascii="Calibri" w:eastAsia="Times New Roman" w:hAnsi="Calibri" w:cs="Simplified Arabic"/>
          <w:sz w:val="12"/>
          <w:szCs w:val="12"/>
        </w:rPr>
        <w:t xml:space="preserve"> comparison</w:t>
      </w:r>
      <w:r w:rsidRPr="00FA7DBA">
        <w:rPr>
          <w:rFonts w:ascii="Calibri" w:eastAsia="Times New Roman" w:hAnsi="Calibri" w:cs="Simplified Arabic" w:hint="cs"/>
          <w:sz w:val="12"/>
          <w:szCs w:val="12"/>
        </w:rPr>
        <w:t>.</w:t>
      </w:r>
    </w:p>
    <w:p w:rsidR="00FA7DBA" w:rsidRPr="00FA7DBA" w:rsidRDefault="00FA7DBA" w:rsidP="00B84BBF">
      <w:pPr>
        <w:bidi w:val="0"/>
        <w:spacing w:after="0" w:line="240" w:lineRule="auto"/>
        <w:ind w:right="720" w:hanging="17"/>
        <w:rPr>
          <w:rFonts w:ascii="Calibri" w:eastAsia="Times New Roman" w:hAnsi="Calibri" w:cs="Times New Roman"/>
        </w:rPr>
      </w:pPr>
      <w:r w:rsidRPr="00FA7DBA">
        <w:rPr>
          <w:rFonts w:ascii="Symbol" w:eastAsia="Times New Roman" w:hAnsi="Symbol" w:cs="Times New Roman"/>
          <w:sz w:val="12"/>
          <w:szCs w:val="12"/>
        </w:rPr>
        <w:t></w:t>
      </w:r>
      <w:r w:rsidRPr="00FA7DBA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FA7DBA">
        <w:rPr>
          <w:rFonts w:ascii="Calibri" w:eastAsia="Times New Roman" w:hAnsi="Calibri" w:cs="Simplified Arabic" w:hint="cs"/>
          <w:sz w:val="12"/>
          <w:szCs w:val="12"/>
          <w:lang w:bidi="ar-JO"/>
        </w:rPr>
        <w:t>(</w:t>
      </w:r>
      <w:r w:rsidR="00B84BBF" w:rsidRPr="00696A2D">
        <w:rPr>
          <w:rFonts w:eastAsia="Times New Roman" w:cs="Simplified Arabic"/>
          <w:sz w:val="12"/>
          <w:szCs w:val="12"/>
        </w:rPr>
        <w:t>N.A.</w:t>
      </w:r>
      <w:r w:rsidRPr="00FA7DBA">
        <w:rPr>
          <w:rFonts w:ascii="Calibri" w:eastAsia="Times New Roman" w:hAnsi="Calibri" w:cs="Simplified Arabic" w:hint="cs"/>
          <w:sz w:val="12"/>
          <w:szCs w:val="12"/>
          <w:lang w:bidi="ar-JO"/>
        </w:rPr>
        <w:t xml:space="preserve">): means that </w:t>
      </w:r>
      <w:r w:rsidR="00B84BBF">
        <w:rPr>
          <w:rFonts w:ascii="Calibri" w:eastAsia="Times New Roman" w:hAnsi="Calibri" w:cs="Simplified Arabic"/>
          <w:sz w:val="12"/>
          <w:szCs w:val="12"/>
          <w:lang w:bidi="ar-JO"/>
        </w:rPr>
        <w:t>data</w:t>
      </w:r>
      <w:r w:rsidRPr="00FA7DBA">
        <w:rPr>
          <w:rFonts w:ascii="Calibri" w:eastAsia="Times New Roman" w:hAnsi="Calibri" w:cs="Simplified Arabic" w:hint="cs"/>
          <w:sz w:val="12"/>
          <w:szCs w:val="12"/>
          <w:lang w:bidi="ar-JO"/>
        </w:rPr>
        <w:t xml:space="preserve"> is not available.</w:t>
      </w:r>
    </w:p>
    <w:p w:rsidR="00FA7DBA" w:rsidRPr="00FA7DBA" w:rsidRDefault="00FA7DBA" w:rsidP="00FA7DBA">
      <w:pPr>
        <w:bidi w:val="0"/>
        <w:spacing w:after="0" w:line="240" w:lineRule="auto"/>
        <w:ind w:right="720" w:hanging="17"/>
        <w:rPr>
          <w:rFonts w:ascii="Calibri" w:eastAsia="Times New Roman" w:hAnsi="Calibri" w:cs="Times New Roman"/>
        </w:rPr>
      </w:pPr>
      <w:r w:rsidRPr="00FA7DBA">
        <w:rPr>
          <w:rFonts w:ascii="Symbol" w:eastAsia="Times New Roman" w:hAnsi="Symbol" w:cs="Times New Roman"/>
          <w:sz w:val="12"/>
          <w:szCs w:val="12"/>
        </w:rPr>
        <w:t></w:t>
      </w:r>
      <w:r w:rsidR="000B512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FA7DB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A7DBA">
        <w:rPr>
          <w:rFonts w:ascii="Calibri" w:eastAsia="Times New Roman" w:hAnsi="Calibri" w:cs="Simplified Arabic" w:hint="cs"/>
          <w:sz w:val="12"/>
          <w:szCs w:val="12"/>
          <w:lang w:bidi="ar-JO"/>
        </w:rPr>
        <w:t>*</w:t>
      </w:r>
      <w:r w:rsidRPr="00FA7DBA">
        <w:rPr>
          <w:rFonts w:ascii="Calibri" w:eastAsia="Times New Roman" w:hAnsi="Calibri" w:cs="Simplified Arabic" w:hint="cs"/>
          <w:sz w:val="12"/>
          <w:szCs w:val="12"/>
        </w:rPr>
        <w:t xml:space="preserve">: Quarterly estimates. </w:t>
      </w:r>
    </w:p>
    <w:p w:rsidR="00FA7DBA" w:rsidRDefault="00FA7DBA" w:rsidP="00FA7DBA">
      <w:pPr>
        <w:bidi w:val="0"/>
        <w:spacing w:after="0" w:line="240" w:lineRule="auto"/>
        <w:ind w:right="720" w:hanging="17"/>
        <w:rPr>
          <w:rFonts w:ascii="Calibri" w:eastAsia="Times New Roman" w:hAnsi="Calibri" w:cs="Simplified Arabic"/>
          <w:sz w:val="12"/>
          <w:szCs w:val="12"/>
          <w:lang w:bidi="ar-JO"/>
        </w:rPr>
      </w:pPr>
      <w:r w:rsidRPr="00FA7DBA">
        <w:rPr>
          <w:rFonts w:ascii="Symbol" w:eastAsia="Times New Roman" w:hAnsi="Symbol" w:cs="Times New Roman"/>
          <w:sz w:val="12"/>
          <w:szCs w:val="12"/>
        </w:rPr>
        <w:t></w:t>
      </w:r>
      <w:r w:rsidR="000B512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FA7DB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A7DBA">
        <w:rPr>
          <w:rFonts w:ascii="Calibri" w:eastAsia="Times New Roman" w:hAnsi="Calibri" w:cs="Simplified Arabic" w:hint="cs"/>
          <w:sz w:val="12"/>
          <w:szCs w:val="12"/>
          <w:lang w:bidi="ar-JO"/>
        </w:rPr>
        <w:t>•: Initial values.</w:t>
      </w:r>
    </w:p>
    <w:p w:rsidR="00696A2D" w:rsidRDefault="00696A2D" w:rsidP="00696A2D">
      <w:pPr>
        <w:bidi w:val="0"/>
        <w:spacing w:after="0" w:line="240" w:lineRule="auto"/>
        <w:ind w:right="-1186"/>
        <w:jc w:val="center"/>
        <w:rPr>
          <w:rFonts w:ascii="Calibri" w:eastAsia="Times New Roman" w:hAnsi="Calibri" w:cs="Times New Roman"/>
        </w:rPr>
      </w:pPr>
    </w:p>
    <w:p w:rsidR="00696A2D" w:rsidRDefault="00696A2D" w:rsidP="00696A2D">
      <w:pPr>
        <w:bidi w:val="0"/>
        <w:spacing w:after="0" w:line="240" w:lineRule="auto"/>
        <w:ind w:right="-1186"/>
        <w:jc w:val="center"/>
        <w:rPr>
          <w:rFonts w:ascii="Calibri" w:eastAsia="Times New Roman" w:hAnsi="Calibri" w:cs="Times New Roman"/>
        </w:rPr>
      </w:pPr>
    </w:p>
    <w:p w:rsidR="00D85171" w:rsidRDefault="00D85171" w:rsidP="00D85171">
      <w:pPr>
        <w:bidi w:val="0"/>
        <w:spacing w:after="0" w:line="240" w:lineRule="auto"/>
        <w:ind w:right="-1186"/>
        <w:jc w:val="center"/>
        <w:rPr>
          <w:rFonts w:ascii="Calibri" w:eastAsia="Times New Roman" w:hAnsi="Calibri" w:cs="Times New Roman"/>
        </w:rPr>
      </w:pPr>
    </w:p>
    <w:p w:rsidR="00696A2D" w:rsidRDefault="00696A2D" w:rsidP="00696A2D">
      <w:pPr>
        <w:bidi w:val="0"/>
        <w:spacing w:after="0" w:line="240" w:lineRule="auto"/>
        <w:ind w:right="-1186"/>
        <w:jc w:val="center"/>
        <w:rPr>
          <w:rFonts w:ascii="Calibri" w:eastAsia="Times New Roman" w:hAnsi="Calibri" w:cs="Times New Roman"/>
        </w:rPr>
      </w:pPr>
    </w:p>
    <w:p w:rsidR="00696A2D" w:rsidRDefault="00696A2D" w:rsidP="00696A2D">
      <w:pPr>
        <w:bidi w:val="0"/>
        <w:spacing w:after="0" w:line="240" w:lineRule="auto"/>
        <w:ind w:right="-1186"/>
        <w:jc w:val="center"/>
        <w:rPr>
          <w:rFonts w:ascii="Calibri" w:eastAsia="Times New Roman" w:hAnsi="Calibri" w:cs="Times New Roman"/>
        </w:rPr>
      </w:pPr>
    </w:p>
    <w:p w:rsidR="00436A5C" w:rsidRPr="00941044" w:rsidRDefault="00436A5C" w:rsidP="00A21DDB">
      <w:pPr>
        <w:bidi w:val="0"/>
        <w:spacing w:after="0" w:line="240" w:lineRule="auto"/>
        <w:ind w:left="-1418" w:right="-1186"/>
        <w:rPr>
          <w:rFonts w:eastAsia="Times New Roman" w:cs="Calibri"/>
        </w:rPr>
      </w:pPr>
      <w:r w:rsidRPr="00941044">
        <w:rPr>
          <w:rFonts w:eastAsia="Times New Roman" w:cs="Simplified Arabic"/>
          <w:b/>
          <w:bCs/>
          <w:sz w:val="28"/>
          <w:szCs w:val="28"/>
        </w:rPr>
        <w:t>Urban indicators</w:t>
      </w:r>
    </w:p>
    <w:tbl>
      <w:tblPr>
        <w:tblpPr w:leftFromText="180" w:rightFromText="180" w:vertAnchor="text" w:horzAnchor="margin" w:tblpXSpec="center" w:tblpY="19"/>
        <w:tblW w:w="10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4"/>
        <w:gridCol w:w="4124"/>
        <w:gridCol w:w="631"/>
        <w:gridCol w:w="645"/>
        <w:gridCol w:w="553"/>
        <w:gridCol w:w="645"/>
        <w:gridCol w:w="773"/>
        <w:gridCol w:w="709"/>
        <w:gridCol w:w="708"/>
        <w:gridCol w:w="992"/>
      </w:tblGrid>
      <w:tr w:rsidR="0022324F" w:rsidRPr="00941044" w:rsidTr="00055A0D">
        <w:trPr>
          <w:trHeight w:val="302"/>
        </w:trPr>
        <w:tc>
          <w:tcPr>
            <w:tcW w:w="954" w:type="dxa"/>
            <w:vMerge w:val="restart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3A5D79" w:rsidRDefault="0022324F" w:rsidP="00436A5C">
            <w:pPr>
              <w:bidi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A5D79">
              <w:rPr>
                <w:rFonts w:eastAsia="Times New Roman" w:cs="Simplified Arabic"/>
                <w:b/>
                <w:bCs/>
                <w:sz w:val="18"/>
                <w:szCs w:val="18"/>
              </w:rPr>
              <w:t>Indicator</w:t>
            </w:r>
            <w:r w:rsidRPr="003A5D79">
              <w:rPr>
                <w:rFonts w:eastAsia="Times New Roman" w:cs="Simplified Arabic"/>
                <w:b/>
                <w:bCs/>
                <w:sz w:val="18"/>
                <w:szCs w:val="18"/>
                <w:rtl/>
              </w:rPr>
              <w:t xml:space="preserve">  </w:t>
            </w:r>
            <w:r w:rsidRPr="003A5D79">
              <w:rPr>
                <w:rFonts w:eastAsia="Times New Roman" w:cs="Simplified Arabic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4124" w:type="dxa"/>
            <w:vMerge w:val="restart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436A5C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Indicator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664" w:type="dxa"/>
            <w:gridSpan w:val="7"/>
            <w:shd w:val="clear" w:color="auto" w:fill="F2F2F2"/>
            <w:hideMark/>
          </w:tcPr>
          <w:p w:rsidR="0022324F" w:rsidRPr="00941044" w:rsidRDefault="0022324F" w:rsidP="00436A5C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992" w:type="dxa"/>
            <w:vMerge w:val="restart"/>
            <w:shd w:val="clear" w:color="auto" w:fill="F2F2F2"/>
            <w:hideMark/>
          </w:tcPr>
          <w:p w:rsidR="0022324F" w:rsidRPr="00941044" w:rsidRDefault="0022324F" w:rsidP="00696A2D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Frequency of data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collection</w:t>
            </w:r>
          </w:p>
        </w:tc>
      </w:tr>
      <w:tr w:rsidR="0022324F" w:rsidRPr="00941044" w:rsidTr="0022324F">
        <w:trPr>
          <w:trHeight w:val="302"/>
        </w:trPr>
        <w:tc>
          <w:tcPr>
            <w:tcW w:w="954" w:type="dxa"/>
            <w:vMerge/>
            <w:vAlign w:val="center"/>
            <w:hideMark/>
          </w:tcPr>
          <w:p w:rsidR="0022324F" w:rsidRPr="00941044" w:rsidRDefault="0022324F" w:rsidP="0022324F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4124" w:type="dxa"/>
            <w:vMerge/>
            <w:vAlign w:val="center"/>
            <w:hideMark/>
          </w:tcPr>
          <w:p w:rsidR="0022324F" w:rsidRPr="00941044" w:rsidRDefault="0022324F" w:rsidP="0022324F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631" w:type="dxa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b/>
                <w:bCs/>
                <w:sz w:val="20"/>
                <w:szCs w:val="20"/>
                <w:lang w:bidi="ar-JO"/>
              </w:rPr>
              <w:t>2004</w:t>
            </w:r>
          </w:p>
        </w:tc>
        <w:tc>
          <w:tcPr>
            <w:tcW w:w="645" w:type="dxa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  <w:lang w:bidi="ar-JO"/>
              </w:rPr>
              <w:t>2006</w:t>
            </w:r>
          </w:p>
        </w:tc>
        <w:tc>
          <w:tcPr>
            <w:tcW w:w="553" w:type="dxa"/>
            <w:shd w:val="clear" w:color="auto" w:fill="F2F2F2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645" w:type="dxa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73" w:type="dxa"/>
            <w:shd w:val="clear" w:color="auto" w:fill="F2F2F2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708" w:type="dxa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22324F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2324F">
              <w:rPr>
                <w:rFonts w:eastAsia="Times New Roman" w:cs="Calibr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92" w:type="dxa"/>
            <w:vMerge/>
            <w:vAlign w:val="center"/>
            <w:hideMark/>
          </w:tcPr>
          <w:p w:rsidR="0022324F" w:rsidRPr="00941044" w:rsidRDefault="0022324F" w:rsidP="0022324F">
            <w:pPr>
              <w:bidi w:val="0"/>
              <w:rPr>
                <w:rFonts w:eastAsia="Times New Roman" w:cs="Calibri"/>
              </w:rPr>
            </w:pPr>
          </w:p>
        </w:tc>
      </w:tr>
      <w:tr w:rsidR="0022324F" w:rsidRPr="00941044" w:rsidTr="0022324F">
        <w:trPr>
          <w:trHeight w:val="517"/>
        </w:trPr>
        <w:tc>
          <w:tcPr>
            <w:tcW w:w="954" w:type="dxa"/>
            <w:vMerge w:val="restart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ind w:left="113" w:right="113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Housing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4124" w:type="dxa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2324F" w:rsidRPr="00E46784" w:rsidRDefault="0022324F" w:rsidP="0022324F">
            <w:pPr>
              <w:bidi w:val="0"/>
              <w:spacing w:after="0" w:line="240" w:lineRule="auto"/>
              <w:rPr>
                <w:rFonts w:eastAsia="Times New Roman" w:cs="Simplified Arabic"/>
                <w:b/>
                <w:bCs/>
                <w:sz w:val="16"/>
                <w:szCs w:val="16"/>
              </w:rPr>
            </w:pP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Total </w:t>
            </w:r>
            <w:r w:rsidRPr="00E46784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credit facilities extended by licensed   banks for the construction sector (MJD). </w:t>
            </w:r>
            <w:r w:rsidRPr="00E46784">
              <w:rPr>
                <w:rFonts w:cs="Simplified Arabic"/>
                <w:vertAlign w:val="superscript"/>
              </w:rPr>
              <w:footnoteReference w:id="3"/>
            </w:r>
          </w:p>
        </w:tc>
        <w:tc>
          <w:tcPr>
            <w:tcW w:w="631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953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1561</w:t>
            </w:r>
          </w:p>
        </w:tc>
        <w:tc>
          <w:tcPr>
            <w:tcW w:w="553" w:type="dxa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2293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3167</w:t>
            </w:r>
          </w:p>
        </w:tc>
        <w:tc>
          <w:tcPr>
            <w:tcW w:w="773" w:type="dxa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3386</w:t>
            </w:r>
          </w:p>
        </w:tc>
        <w:tc>
          <w:tcPr>
            <w:tcW w:w="709" w:type="dxa"/>
            <w:vAlign w:val="center"/>
            <w:hideMark/>
          </w:tcPr>
          <w:p w:rsidR="0022324F" w:rsidRPr="00941044" w:rsidRDefault="0022324F" w:rsidP="00921BB4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3</w:t>
            </w: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66</w:t>
            </w:r>
            <w:r w:rsidR="00921BB4">
              <w:rPr>
                <w:rFonts w:eastAsia="Times New Roman" w:cs="Simplified Arabic"/>
                <w:sz w:val="16"/>
                <w:szCs w:val="16"/>
                <w:lang w:bidi="ar-JO"/>
              </w:rPr>
              <w:t>9</w:t>
            </w:r>
          </w:p>
        </w:tc>
        <w:tc>
          <w:tcPr>
            <w:tcW w:w="708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C61096" w:rsidRDefault="00C61096" w:rsidP="00B263B2">
            <w:pPr>
              <w:bidi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 w:rsidRPr="00C61096">
              <w:rPr>
                <w:rFonts w:eastAsia="Times New Roman" w:cs="Calibri"/>
                <w:sz w:val="16"/>
                <w:szCs w:val="16"/>
              </w:rPr>
              <w:t>3</w:t>
            </w:r>
            <w:r w:rsidR="00B263B2">
              <w:rPr>
                <w:rFonts w:eastAsia="Times New Roman" w:cs="Calibri"/>
                <w:sz w:val="16"/>
                <w:szCs w:val="16"/>
              </w:rPr>
              <w:t>835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22324F" w:rsidRDefault="0022324F" w:rsidP="0022324F">
            <w:pPr>
              <w:jc w:val="center"/>
            </w:pPr>
            <w:r w:rsidRPr="00CE2103">
              <w:rPr>
                <w:rFonts w:eastAsia="Times New Roman" w:cs="Simplified Arabic"/>
                <w:sz w:val="16"/>
                <w:szCs w:val="16"/>
              </w:rPr>
              <w:t>Quarterly</w:t>
            </w:r>
          </w:p>
        </w:tc>
      </w:tr>
      <w:tr w:rsidR="0022324F" w:rsidRPr="00941044" w:rsidTr="0022324F">
        <w:trPr>
          <w:trHeight w:val="517"/>
        </w:trPr>
        <w:tc>
          <w:tcPr>
            <w:tcW w:w="954" w:type="dxa"/>
            <w:vMerge/>
            <w:vAlign w:val="center"/>
            <w:hideMark/>
          </w:tcPr>
          <w:p w:rsidR="0022324F" w:rsidRPr="00941044" w:rsidRDefault="0022324F" w:rsidP="0022324F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4124" w:type="dxa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2324F" w:rsidRPr="001A09E9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1C5DEE">
              <w:rPr>
                <w:rFonts w:eastAsia="Times New Roman" w:cs="Simplified Arabic"/>
                <w:b/>
                <w:bCs/>
                <w:sz w:val="16"/>
                <w:szCs w:val="16"/>
              </w:rPr>
              <w:t>The</w:t>
            </w:r>
            <w:r w:rsidRPr="001C5DEE">
              <w:rPr>
                <w:rFonts w:eastAsia="Times New Roman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 w:rsidRPr="001C5DEE">
              <w:rPr>
                <w:rFonts w:eastAsia="Times New Roman" w:cs="Simplified Arabic"/>
                <w:b/>
                <w:bCs/>
                <w:sz w:val="16"/>
                <w:szCs w:val="16"/>
              </w:rPr>
              <w:t>ratio of credit facilities extended for the construction sector to total</w:t>
            </w:r>
            <w:r w:rsidRPr="001C5DEE">
              <w:rPr>
                <w:rFonts w:eastAsia="Times New Roman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credit </w:t>
            </w:r>
            <w:r w:rsidRPr="001C5DEE">
              <w:rPr>
                <w:rFonts w:eastAsia="Times New Roman" w:cs="Simplified Arabic"/>
                <w:b/>
                <w:bCs/>
                <w:sz w:val="16"/>
                <w:szCs w:val="16"/>
              </w:rPr>
              <w:t>facilities extended to all sectors by licensed banks</w:t>
            </w:r>
            <w:r w:rsidRPr="001C5DEE">
              <w:rPr>
                <w:rFonts w:eastAsia="Times New Roman" w:cs="Simplified Arabic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631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15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16</w:t>
            </w:r>
          </w:p>
        </w:tc>
        <w:tc>
          <w:tcPr>
            <w:tcW w:w="553" w:type="dxa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18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21.9</w:t>
            </w:r>
          </w:p>
        </w:tc>
        <w:tc>
          <w:tcPr>
            <w:tcW w:w="773" w:type="dxa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21.5</w:t>
            </w:r>
          </w:p>
        </w:tc>
        <w:tc>
          <w:tcPr>
            <w:tcW w:w="709" w:type="dxa"/>
            <w:vAlign w:val="center"/>
            <w:hideMark/>
          </w:tcPr>
          <w:p w:rsidR="0022324F" w:rsidRPr="00941044" w:rsidRDefault="00921BB4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20.7</w:t>
            </w:r>
          </w:p>
        </w:tc>
        <w:tc>
          <w:tcPr>
            <w:tcW w:w="708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C61096" w:rsidRDefault="00B263B2" w:rsidP="0022324F">
            <w:pPr>
              <w:bidi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22324F" w:rsidRDefault="0022324F" w:rsidP="0022324F">
            <w:pPr>
              <w:jc w:val="center"/>
            </w:pPr>
            <w:r w:rsidRPr="00CE2103">
              <w:rPr>
                <w:rFonts w:eastAsia="Times New Roman" w:cs="Simplified Arabic"/>
                <w:sz w:val="16"/>
                <w:szCs w:val="16"/>
              </w:rPr>
              <w:t>Quarterly</w:t>
            </w:r>
          </w:p>
        </w:tc>
      </w:tr>
      <w:tr w:rsidR="0022324F" w:rsidRPr="00941044" w:rsidTr="0022324F">
        <w:trPr>
          <w:trHeight w:val="259"/>
        </w:trPr>
        <w:tc>
          <w:tcPr>
            <w:tcW w:w="954" w:type="dxa"/>
            <w:vMerge/>
            <w:vAlign w:val="center"/>
            <w:hideMark/>
          </w:tcPr>
          <w:p w:rsidR="0022324F" w:rsidRPr="00941044" w:rsidRDefault="0022324F" w:rsidP="0022324F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4124" w:type="dxa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1A09E9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EF0074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Total housing loans </w:t>
            </w:r>
            <w:r w:rsidRPr="001C5DEE">
              <w:rPr>
                <w:rFonts w:eastAsia="Times New Roman" w:cs="Simplified Arabic"/>
                <w:b/>
                <w:bCs/>
                <w:sz w:val="16"/>
                <w:szCs w:val="16"/>
              </w:rPr>
              <w:t>extended</w:t>
            </w:r>
            <w:r w:rsidRPr="00EF0074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to individuals from banks (M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J</w:t>
            </w:r>
            <w:r w:rsidRPr="00EF0074">
              <w:rPr>
                <w:rFonts w:eastAsia="Times New Roman" w:cs="Simplified Arabic"/>
                <w:b/>
                <w:bCs/>
                <w:sz w:val="16"/>
                <w:szCs w:val="16"/>
              </w:rPr>
              <w:t>D</w:t>
            </w:r>
            <w:r w:rsidRPr="00EF0074">
              <w:rPr>
                <w:rFonts w:eastAsia="Times New Roman" w:cs="Simplified Arabic"/>
                <w:b/>
                <w:bCs/>
                <w:sz w:val="17"/>
                <w:szCs w:val="17"/>
                <w:lang w:bidi="ar-JO"/>
              </w:rPr>
              <w:t>)</w:t>
            </w:r>
          </w:p>
        </w:tc>
        <w:tc>
          <w:tcPr>
            <w:tcW w:w="631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189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502</w:t>
            </w:r>
          </w:p>
        </w:tc>
        <w:tc>
          <w:tcPr>
            <w:tcW w:w="553" w:type="dxa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508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1317</w:t>
            </w:r>
            <w:r w:rsidRPr="00941044">
              <w:rPr>
                <w:rStyle w:val="FootnoteReference"/>
                <w:rFonts w:eastAsia="Times New Roman" w:cs="Calibri"/>
              </w:rPr>
              <w:footnoteReference w:id="4"/>
            </w:r>
          </w:p>
        </w:tc>
        <w:tc>
          <w:tcPr>
            <w:tcW w:w="773" w:type="dxa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1401</w:t>
            </w:r>
          </w:p>
        </w:tc>
        <w:tc>
          <w:tcPr>
            <w:tcW w:w="709" w:type="dxa"/>
            <w:vAlign w:val="center"/>
            <w:hideMark/>
          </w:tcPr>
          <w:p w:rsidR="0022324F" w:rsidRPr="00941044" w:rsidRDefault="00921BB4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1752</w:t>
            </w:r>
          </w:p>
        </w:tc>
        <w:tc>
          <w:tcPr>
            <w:tcW w:w="708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C61096" w:rsidRDefault="00B263B2" w:rsidP="0022324F">
            <w:pPr>
              <w:bidi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1906</w:t>
            </w:r>
            <w:r w:rsidR="00C61096" w:rsidRPr="0094104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22324F" w:rsidRDefault="0022324F" w:rsidP="0022324F">
            <w:pPr>
              <w:jc w:val="center"/>
            </w:pPr>
            <w:r w:rsidRPr="00CE2103">
              <w:rPr>
                <w:rFonts w:eastAsia="Times New Roman" w:cs="Simplified Arabic"/>
                <w:sz w:val="16"/>
                <w:szCs w:val="16"/>
              </w:rPr>
              <w:t>Quarterly</w:t>
            </w:r>
          </w:p>
        </w:tc>
      </w:tr>
      <w:tr w:rsidR="0022324F" w:rsidRPr="00941044" w:rsidTr="0022324F">
        <w:trPr>
          <w:trHeight w:val="259"/>
        </w:trPr>
        <w:tc>
          <w:tcPr>
            <w:tcW w:w="954" w:type="dxa"/>
            <w:vMerge/>
            <w:vAlign w:val="center"/>
            <w:hideMark/>
          </w:tcPr>
          <w:p w:rsidR="0022324F" w:rsidRPr="00941044" w:rsidRDefault="0022324F" w:rsidP="0022324F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4124" w:type="dxa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2324F" w:rsidRPr="001A09E9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The</w:t>
            </w:r>
            <w:r w:rsidRPr="002B6E65">
              <w:rPr>
                <w:rFonts w:eastAsia="Times New Roman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 w:rsidRPr="002B6E65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ratio of housing loans </w:t>
            </w:r>
            <w:r w:rsidRPr="001C5DEE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extended</w:t>
            </w:r>
            <w:r w:rsidRPr="002B6E65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 to individuals from commercial banks </w:t>
            </w:r>
          </w:p>
        </w:tc>
        <w:tc>
          <w:tcPr>
            <w:tcW w:w="631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79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80</w:t>
            </w:r>
          </w:p>
        </w:tc>
        <w:tc>
          <w:tcPr>
            <w:tcW w:w="553" w:type="dxa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66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76.4</w:t>
            </w:r>
          </w:p>
        </w:tc>
        <w:tc>
          <w:tcPr>
            <w:tcW w:w="773" w:type="dxa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70.2</w:t>
            </w:r>
          </w:p>
        </w:tc>
        <w:tc>
          <w:tcPr>
            <w:tcW w:w="709" w:type="dxa"/>
            <w:vAlign w:val="center"/>
            <w:hideMark/>
          </w:tcPr>
          <w:p w:rsidR="0022324F" w:rsidRPr="00941044" w:rsidRDefault="00921BB4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64.3</w:t>
            </w:r>
          </w:p>
        </w:tc>
        <w:tc>
          <w:tcPr>
            <w:tcW w:w="708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C61096" w:rsidRDefault="00C61096" w:rsidP="00B263B2">
            <w:pPr>
              <w:bidi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6</w:t>
            </w:r>
            <w:r w:rsidR="00B263B2">
              <w:rPr>
                <w:rFonts w:eastAsia="Times New Roman" w:cs="Calibri"/>
                <w:sz w:val="16"/>
                <w:szCs w:val="16"/>
              </w:rPr>
              <w:t>1</w:t>
            </w:r>
            <w:r>
              <w:rPr>
                <w:rFonts w:eastAsia="Times New Roman" w:cs="Calibri"/>
                <w:sz w:val="16"/>
                <w:szCs w:val="16"/>
              </w:rPr>
              <w:t>.1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22324F" w:rsidRDefault="0022324F" w:rsidP="0022324F">
            <w:pPr>
              <w:jc w:val="center"/>
            </w:pPr>
            <w:r w:rsidRPr="00CE2103">
              <w:rPr>
                <w:rFonts w:eastAsia="Times New Roman" w:cs="Simplified Arabic"/>
                <w:sz w:val="16"/>
                <w:szCs w:val="16"/>
              </w:rPr>
              <w:t>Quarterly</w:t>
            </w:r>
          </w:p>
        </w:tc>
      </w:tr>
      <w:tr w:rsidR="0022324F" w:rsidRPr="00941044" w:rsidTr="0022324F">
        <w:trPr>
          <w:trHeight w:val="259"/>
        </w:trPr>
        <w:tc>
          <w:tcPr>
            <w:tcW w:w="954" w:type="dxa"/>
            <w:vMerge/>
            <w:vAlign w:val="center"/>
            <w:hideMark/>
          </w:tcPr>
          <w:p w:rsidR="0022324F" w:rsidRPr="00941044" w:rsidRDefault="0022324F" w:rsidP="0022324F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4124" w:type="dxa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2324F" w:rsidRPr="001A09E9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The</w:t>
            </w:r>
            <w:r w:rsidRPr="002B6E65">
              <w:rPr>
                <w:rFonts w:eastAsia="Times New Roman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 w:rsidRPr="002B6E65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ratio of housing loans  extended  to individuals from Islamic banks </w:t>
            </w:r>
          </w:p>
        </w:tc>
        <w:tc>
          <w:tcPr>
            <w:tcW w:w="631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21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20</w:t>
            </w:r>
          </w:p>
        </w:tc>
        <w:tc>
          <w:tcPr>
            <w:tcW w:w="553" w:type="dxa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34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23.6</w:t>
            </w:r>
          </w:p>
        </w:tc>
        <w:tc>
          <w:tcPr>
            <w:tcW w:w="773" w:type="dxa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29.8</w:t>
            </w:r>
          </w:p>
        </w:tc>
        <w:tc>
          <w:tcPr>
            <w:tcW w:w="709" w:type="dxa"/>
            <w:vAlign w:val="center"/>
            <w:hideMark/>
          </w:tcPr>
          <w:p w:rsidR="0022324F" w:rsidRPr="00941044" w:rsidRDefault="00921BB4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35.7</w:t>
            </w:r>
          </w:p>
        </w:tc>
        <w:tc>
          <w:tcPr>
            <w:tcW w:w="708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C61096" w:rsidRDefault="00C61096" w:rsidP="00B263B2">
            <w:pPr>
              <w:bidi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</w:t>
            </w:r>
            <w:r w:rsidR="00B263B2">
              <w:rPr>
                <w:rFonts w:eastAsia="Times New Roman" w:cs="Calibri"/>
                <w:sz w:val="16"/>
                <w:szCs w:val="16"/>
              </w:rPr>
              <w:t>8</w:t>
            </w:r>
            <w:r>
              <w:rPr>
                <w:rFonts w:eastAsia="Times New Roman" w:cs="Calibri"/>
                <w:sz w:val="16"/>
                <w:szCs w:val="16"/>
              </w:rPr>
              <w:t>.9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22324F" w:rsidRDefault="0022324F" w:rsidP="0022324F">
            <w:pPr>
              <w:jc w:val="center"/>
            </w:pPr>
            <w:r w:rsidRPr="00CE2103">
              <w:rPr>
                <w:rFonts w:eastAsia="Times New Roman" w:cs="Simplified Arabic"/>
                <w:sz w:val="16"/>
                <w:szCs w:val="16"/>
              </w:rPr>
              <w:t>Quarterly</w:t>
            </w:r>
          </w:p>
        </w:tc>
      </w:tr>
      <w:tr w:rsidR="0022324F" w:rsidRPr="00941044" w:rsidTr="0022324F">
        <w:trPr>
          <w:trHeight w:val="259"/>
        </w:trPr>
        <w:tc>
          <w:tcPr>
            <w:tcW w:w="954" w:type="dxa"/>
            <w:vMerge/>
            <w:vAlign w:val="center"/>
            <w:hideMark/>
          </w:tcPr>
          <w:p w:rsidR="0022324F" w:rsidRPr="00941044" w:rsidRDefault="0022324F" w:rsidP="0022324F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4124" w:type="dxa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2324F" w:rsidRPr="001A09E9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Total housing loans</w:t>
            </w:r>
            <w:r w:rsidRPr="00644B3F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extended</w:t>
            </w:r>
            <w:r w:rsidRPr="00644B3F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 xml:space="preserve">  to individuals of funds (</w:t>
            </w:r>
            <w:r w:rsidRPr="00EF0074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M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J</w:t>
            </w:r>
            <w:r w:rsidRPr="00EF0074">
              <w:rPr>
                <w:rFonts w:eastAsia="Times New Roman" w:cs="Simplified Arabic"/>
                <w:b/>
                <w:bCs/>
                <w:sz w:val="16"/>
                <w:szCs w:val="16"/>
              </w:rPr>
              <w:t>D</w:t>
            </w:r>
            <w:r w:rsidRPr="00644B3F">
              <w:rPr>
                <w:rFonts w:eastAsia="Times New Roman" w:cs="Simplified Arabic"/>
                <w:b/>
                <w:bCs/>
                <w:sz w:val="17"/>
                <w:szCs w:val="17"/>
                <w:lang w:bidi="ar-JO"/>
              </w:rPr>
              <w:t xml:space="preserve"> )</w:t>
            </w:r>
            <w:r w:rsidRPr="00644B3F">
              <w:rPr>
                <w:rFonts w:eastAsia="Times New Roman" w:cs="Calibri"/>
                <w:b/>
                <w:bCs/>
              </w:rPr>
              <w:t xml:space="preserve"> </w:t>
            </w:r>
            <w:r w:rsidRPr="001A09E9">
              <w:rPr>
                <w:rStyle w:val="FootnoteReference"/>
                <w:rFonts w:eastAsia="Times New Roman" w:cs="Calibri"/>
              </w:rPr>
              <w:footnoteReference w:id="5"/>
            </w:r>
          </w:p>
        </w:tc>
        <w:tc>
          <w:tcPr>
            <w:tcW w:w="631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232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64</w:t>
            </w:r>
          </w:p>
        </w:tc>
        <w:tc>
          <w:tcPr>
            <w:tcW w:w="553" w:type="dxa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135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Arial"/>
                <w:sz w:val="16"/>
                <w:szCs w:val="16"/>
              </w:rPr>
              <w:t xml:space="preserve">49 </w:t>
            </w:r>
            <w:r w:rsidRPr="00941044">
              <w:rPr>
                <w:rStyle w:val="FootnoteReference"/>
                <w:rFonts w:eastAsia="Times New Roman" w:cs="Calibri"/>
              </w:rPr>
              <w:footnoteReference w:id="6"/>
            </w:r>
          </w:p>
        </w:tc>
        <w:tc>
          <w:tcPr>
            <w:tcW w:w="773" w:type="dxa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C61096" w:rsidRDefault="0022324F" w:rsidP="0022324F">
            <w:pPr>
              <w:bidi w:val="0"/>
              <w:spacing w:after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</w:tr>
      <w:tr w:rsidR="0022324F" w:rsidRPr="00941044" w:rsidTr="004A533C">
        <w:trPr>
          <w:trHeight w:val="259"/>
        </w:trPr>
        <w:tc>
          <w:tcPr>
            <w:tcW w:w="954" w:type="dxa"/>
            <w:vMerge/>
            <w:vAlign w:val="center"/>
            <w:hideMark/>
          </w:tcPr>
          <w:p w:rsidR="0022324F" w:rsidRPr="00941044" w:rsidRDefault="0022324F" w:rsidP="0022324F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4124" w:type="dxa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2324F" w:rsidRPr="001A09E9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644B3F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The value of real estate leasing contracts (</w:t>
            </w:r>
            <w:r w:rsidRPr="00644B3F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MJD</w:t>
            </w:r>
            <w:r w:rsidRPr="00644B3F">
              <w:rPr>
                <w:rFonts w:eastAsia="Times New Roman" w:cs="Simplified Arabic"/>
                <w:b/>
                <w:bCs/>
                <w:sz w:val="17"/>
                <w:szCs w:val="17"/>
                <w:lang w:bidi="ar-JO"/>
              </w:rPr>
              <w:t xml:space="preserve"> )</w:t>
            </w:r>
            <w:r w:rsidRPr="00644B3F">
              <w:rPr>
                <w:rFonts w:eastAsia="Times New Roman" w:cs="Calibri"/>
                <w:b/>
                <w:bCs/>
              </w:rPr>
              <w:t xml:space="preserve"> </w:t>
            </w:r>
            <w:r w:rsidRPr="00644B3F">
              <w:rPr>
                <w:rStyle w:val="FootnoteReference"/>
                <w:rFonts w:eastAsia="Times New Roman" w:cs="Calibri"/>
              </w:rPr>
              <w:footnoteReference w:id="7"/>
            </w:r>
          </w:p>
        </w:tc>
        <w:tc>
          <w:tcPr>
            <w:tcW w:w="631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sz w:val="16"/>
                <w:szCs w:val="16"/>
              </w:rPr>
              <w:t>--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577689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sz w:val="16"/>
                <w:szCs w:val="16"/>
              </w:rPr>
              <w:t>102</w:t>
            </w:r>
            <w:r w:rsidR="0022324F" w:rsidRPr="00941044">
              <w:rPr>
                <w:rFonts w:eastAsia="Times New Roman" w:cs="Calibri"/>
                <w:sz w:val="16"/>
                <w:szCs w:val="16"/>
              </w:rPr>
              <w:t xml:space="preserve"> </w:t>
            </w:r>
          </w:p>
        </w:tc>
        <w:tc>
          <w:tcPr>
            <w:tcW w:w="553" w:type="dxa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102</w:t>
            </w:r>
            <w:r w:rsidRPr="00941044">
              <w:rPr>
                <w:rStyle w:val="FootnoteReference"/>
                <w:rFonts w:eastAsia="Times New Roman" w:cs="Calibri"/>
              </w:rPr>
              <w:footnoteReference w:id="8"/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Arial"/>
                <w:sz w:val="16"/>
                <w:szCs w:val="16"/>
              </w:rPr>
              <w:t>202</w:t>
            </w:r>
          </w:p>
        </w:tc>
        <w:tc>
          <w:tcPr>
            <w:tcW w:w="773" w:type="dxa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941044">
              <w:rPr>
                <w:rFonts w:eastAsia="Times New Roman" w:cs="Arial"/>
                <w:sz w:val="16"/>
                <w:szCs w:val="16"/>
              </w:rPr>
              <w:t>846</w:t>
            </w:r>
          </w:p>
        </w:tc>
        <w:tc>
          <w:tcPr>
            <w:tcW w:w="709" w:type="dxa"/>
            <w:vAlign w:val="center"/>
            <w:hideMark/>
          </w:tcPr>
          <w:p w:rsidR="0022324F" w:rsidRPr="004A533C" w:rsidRDefault="0022324F" w:rsidP="004A533C">
            <w:pPr>
              <w:bidi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4A533C">
              <w:rPr>
                <w:rFonts w:eastAsia="Times New Roman" w:cs="Simplified Arabic"/>
                <w:sz w:val="16"/>
                <w:szCs w:val="16"/>
                <w:lang w:bidi="ar-JO"/>
              </w:rPr>
              <w:t> </w:t>
            </w:r>
            <w:r w:rsidR="004A533C" w:rsidRPr="004A533C">
              <w:rPr>
                <w:rFonts w:eastAsia="Times New Roman" w:cs="Calibri"/>
                <w:sz w:val="16"/>
                <w:szCs w:val="16"/>
              </w:rPr>
              <w:t>454</w:t>
            </w:r>
          </w:p>
        </w:tc>
        <w:tc>
          <w:tcPr>
            <w:tcW w:w="708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</w:tr>
      <w:tr w:rsidR="0022324F" w:rsidRPr="00941044" w:rsidTr="00362EE0">
        <w:trPr>
          <w:trHeight w:val="259"/>
        </w:trPr>
        <w:tc>
          <w:tcPr>
            <w:tcW w:w="954" w:type="dxa"/>
            <w:vMerge/>
            <w:vAlign w:val="center"/>
            <w:hideMark/>
          </w:tcPr>
          <w:p w:rsidR="0022324F" w:rsidRPr="00941044" w:rsidRDefault="0022324F" w:rsidP="0022324F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4124" w:type="dxa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2324F" w:rsidRPr="001A09E9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644B3F">
              <w:rPr>
                <w:rFonts w:eastAsia="Times New Roman" w:cs="Simplified Arabic"/>
                <w:b/>
                <w:bCs/>
                <w:sz w:val="16"/>
                <w:szCs w:val="16"/>
              </w:rPr>
              <w:t>Total refinanc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e</w:t>
            </w:r>
            <w:r w:rsidRPr="00644B3F">
              <w:rPr>
                <w:rFonts w:eastAsia="Times New Roman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 w:rsidRPr="00644B3F">
              <w:rPr>
                <w:rFonts w:eastAsia="Times New Roman" w:cs="Simplified Arabic"/>
                <w:b/>
                <w:bCs/>
                <w:sz w:val="16"/>
                <w:szCs w:val="16"/>
              </w:rPr>
              <w:t>loans ( MJD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)</w:t>
            </w:r>
            <w:r w:rsidRPr="001A09E9">
              <w:rPr>
                <w:rFonts w:eastAsia="Times New Roman" w:cs="Calibri"/>
                <w:b/>
                <w:bCs/>
                <w:sz w:val="16"/>
                <w:szCs w:val="16"/>
                <w:highlight w:val="yellow"/>
                <w:lang w:bidi="ar-JO"/>
              </w:rPr>
              <w:t xml:space="preserve"> </w:t>
            </w:r>
          </w:p>
        </w:tc>
        <w:tc>
          <w:tcPr>
            <w:tcW w:w="631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28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56.5</w:t>
            </w:r>
          </w:p>
        </w:tc>
        <w:tc>
          <w:tcPr>
            <w:tcW w:w="553" w:type="dxa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119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65</w:t>
            </w:r>
          </w:p>
        </w:tc>
        <w:tc>
          <w:tcPr>
            <w:tcW w:w="773" w:type="dxa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  <w:hideMark/>
          </w:tcPr>
          <w:p w:rsidR="0022324F" w:rsidRPr="003F02C7" w:rsidRDefault="0022324F" w:rsidP="00362EE0">
            <w:pPr>
              <w:bidi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 </w:t>
            </w:r>
            <w:r w:rsidR="003F02C7" w:rsidRPr="003F02C7">
              <w:rPr>
                <w:rFonts w:eastAsia="Times New Roman" w:cs="Calibri"/>
                <w:sz w:val="16"/>
                <w:szCs w:val="16"/>
              </w:rPr>
              <w:t>103</w:t>
            </w:r>
          </w:p>
        </w:tc>
        <w:tc>
          <w:tcPr>
            <w:tcW w:w="708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</w:tr>
      <w:tr w:rsidR="0022324F" w:rsidRPr="00941044" w:rsidTr="0022324F">
        <w:trPr>
          <w:trHeight w:val="259"/>
        </w:trPr>
        <w:tc>
          <w:tcPr>
            <w:tcW w:w="954" w:type="dxa"/>
            <w:vMerge/>
            <w:vAlign w:val="center"/>
            <w:hideMark/>
          </w:tcPr>
          <w:p w:rsidR="0022324F" w:rsidRPr="00941044" w:rsidRDefault="0022324F" w:rsidP="0022324F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4124" w:type="dxa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2324F" w:rsidRPr="003448F3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W</w:t>
            </w:r>
            <w:r w:rsidRPr="003448F3">
              <w:rPr>
                <w:rFonts w:eastAsia="Times New Roman" w:cs="Simplified Arabic"/>
                <w:b/>
                <w:bCs/>
                <w:sz w:val="16"/>
                <w:szCs w:val="16"/>
              </w:rPr>
              <w:t>eighted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 xml:space="preserve"> average</w:t>
            </w:r>
            <w:r w:rsidRPr="003448F3">
              <w:rPr>
                <w:rFonts w:eastAsia="Times New Roman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interest rates</w:t>
            </w:r>
            <w:r w:rsidRPr="003448F3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on credit (loans and advances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31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7</w:t>
            </w: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.</w:t>
            </w: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 xml:space="preserve"> 590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8</w:t>
            </w: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.</w:t>
            </w: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 xml:space="preserve"> 5</w:t>
            </w: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60</w:t>
            </w:r>
          </w:p>
        </w:tc>
        <w:tc>
          <w:tcPr>
            <w:tcW w:w="553" w:type="dxa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9</w:t>
            </w:r>
            <w:r>
              <w:rPr>
                <w:rFonts w:eastAsia="Times New Roman" w:cs="Simplified Arabic"/>
                <w:sz w:val="16"/>
                <w:szCs w:val="16"/>
              </w:rPr>
              <w:t>.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 xml:space="preserve"> 4</w:t>
            </w:r>
            <w:r>
              <w:rPr>
                <w:rFonts w:eastAsia="Times New Roman" w:cs="Simplified Arabic"/>
                <w:sz w:val="16"/>
                <w:szCs w:val="16"/>
              </w:rPr>
              <w:t>80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9.0</w:t>
            </w: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1</w:t>
            </w: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0</w:t>
            </w:r>
          </w:p>
        </w:tc>
        <w:tc>
          <w:tcPr>
            <w:tcW w:w="773" w:type="dxa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8.67</w:t>
            </w:r>
          </w:p>
        </w:tc>
        <w:tc>
          <w:tcPr>
            <w:tcW w:w="709" w:type="dxa"/>
            <w:vAlign w:val="center"/>
            <w:hideMark/>
          </w:tcPr>
          <w:p w:rsidR="0022324F" w:rsidRPr="00941044" w:rsidRDefault="0022324F" w:rsidP="00CD5D2B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8.</w:t>
            </w:r>
            <w:r w:rsidR="00973901">
              <w:rPr>
                <w:rFonts w:eastAsia="Times New Roman" w:cs="Simplified Arabic"/>
                <w:sz w:val="16"/>
                <w:szCs w:val="16"/>
              </w:rPr>
              <w:t>9</w:t>
            </w:r>
            <w:r w:rsidR="00D94F0A">
              <w:rPr>
                <w:rFonts w:eastAsia="Times New Roman" w:cs="Simplified Arabic"/>
                <w:sz w:val="16"/>
                <w:szCs w:val="16"/>
              </w:rPr>
              <w:t>5</w:t>
            </w:r>
          </w:p>
        </w:tc>
        <w:tc>
          <w:tcPr>
            <w:tcW w:w="708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324F" w:rsidRPr="00E348FF" w:rsidRDefault="00CC131A" w:rsidP="0022324F">
            <w:pPr>
              <w:bidi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9.070</w:t>
            </w:r>
            <w:r w:rsidR="00E348FF" w:rsidRPr="0094104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22324F" w:rsidRPr="00941044" w:rsidRDefault="0022324F" w:rsidP="0022324F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Quarterly</w:t>
            </w:r>
          </w:p>
        </w:tc>
      </w:tr>
      <w:tr w:rsidR="00BD6AE4" w:rsidRPr="00941044" w:rsidTr="0022324F">
        <w:trPr>
          <w:trHeight w:val="259"/>
        </w:trPr>
        <w:tc>
          <w:tcPr>
            <w:tcW w:w="954" w:type="dxa"/>
            <w:vMerge w:val="restart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ind w:left="113" w:right="113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Infrastructure services</w:t>
            </w:r>
          </w:p>
        </w:tc>
        <w:tc>
          <w:tcPr>
            <w:tcW w:w="4124" w:type="dxa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BD6AE4" w:rsidRPr="0001597A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01597A">
              <w:rPr>
                <w:rFonts w:eastAsia="Times New Roman" w:cs="Simplified Arabic"/>
                <w:b/>
                <w:bCs/>
                <w:sz w:val="16"/>
                <w:szCs w:val="16"/>
              </w:rPr>
              <w:t>HUs. C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onnected to water network (%)</w:t>
            </w:r>
            <w:r w:rsidRPr="0001597A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1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97.7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97.7</w:t>
            </w:r>
          </w:p>
        </w:tc>
        <w:tc>
          <w:tcPr>
            <w:tcW w:w="553" w:type="dxa"/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97.7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9</w:t>
            </w:r>
            <w:r>
              <w:rPr>
                <w:rFonts w:eastAsia="Times New Roman" w:cs="Simplified Arabic"/>
                <w:sz w:val="16"/>
                <w:szCs w:val="16"/>
              </w:rPr>
              <w:t>6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.7</w:t>
            </w:r>
          </w:p>
        </w:tc>
        <w:tc>
          <w:tcPr>
            <w:tcW w:w="773" w:type="dxa"/>
            <w:vAlign w:val="center"/>
            <w:hideMark/>
          </w:tcPr>
          <w:p w:rsidR="00BD6AE4" w:rsidRPr="00DD28FD" w:rsidRDefault="00BD6AE4" w:rsidP="00BD6AE4">
            <w:pPr>
              <w:bidi w:val="0"/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DD28FD">
              <w:rPr>
                <w:rFonts w:eastAsia="Times New Roman" w:cs="Times New Roman"/>
                <w:sz w:val="16"/>
                <w:szCs w:val="16"/>
              </w:rPr>
              <w:t>96.7</w:t>
            </w:r>
            <w:r w:rsidRPr="00DD28FD">
              <w:rPr>
                <w:rFonts w:eastAsia="Times New Roman" w:cs="Times New Roman"/>
                <w:sz w:val="14"/>
                <w:szCs w:val="14"/>
              </w:rPr>
              <w:t>(2010)</w:t>
            </w:r>
          </w:p>
        </w:tc>
        <w:tc>
          <w:tcPr>
            <w:tcW w:w="709" w:type="dxa"/>
            <w:vAlign w:val="center"/>
            <w:hideMark/>
          </w:tcPr>
          <w:p w:rsidR="00BD6AE4" w:rsidRPr="00DD28FD" w:rsidRDefault="00BD6AE4" w:rsidP="00BD6AE4">
            <w:pPr>
              <w:bidi w:val="0"/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DD28FD">
              <w:rPr>
                <w:rFonts w:eastAsia="Times New Roman" w:cs="Times New Roman"/>
                <w:sz w:val="16"/>
                <w:szCs w:val="16"/>
              </w:rPr>
              <w:t>96.7</w:t>
            </w:r>
            <w:r w:rsidRPr="00DD28FD">
              <w:rPr>
                <w:rFonts w:eastAsia="Times New Roman" w:cs="Times New Roman"/>
                <w:sz w:val="14"/>
                <w:szCs w:val="14"/>
              </w:rPr>
              <w:t>(2010)</w:t>
            </w:r>
          </w:p>
        </w:tc>
        <w:tc>
          <w:tcPr>
            <w:tcW w:w="708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D6AE4" w:rsidRPr="00DD28FD" w:rsidRDefault="00BD6AE4" w:rsidP="00BD6AE4">
            <w:pPr>
              <w:bidi w:val="0"/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</w:tr>
      <w:tr w:rsidR="00BD6AE4" w:rsidRPr="00941044" w:rsidTr="0022324F">
        <w:trPr>
          <w:trHeight w:val="259"/>
        </w:trPr>
        <w:tc>
          <w:tcPr>
            <w:tcW w:w="954" w:type="dxa"/>
            <w:vMerge/>
            <w:vAlign w:val="center"/>
            <w:hideMark/>
          </w:tcPr>
          <w:p w:rsidR="00BD6AE4" w:rsidRPr="00941044" w:rsidRDefault="00BD6AE4" w:rsidP="00BD6AE4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4124" w:type="dxa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BD6AE4" w:rsidRPr="0001597A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01597A">
              <w:rPr>
                <w:rFonts w:eastAsia="Times New Roman" w:cs="Simplified Arabic"/>
                <w:b/>
                <w:bCs/>
                <w:sz w:val="16"/>
                <w:szCs w:val="16"/>
              </w:rPr>
              <w:t>HUs. C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onnected to electricity network (%)</w:t>
            </w:r>
          </w:p>
        </w:tc>
        <w:tc>
          <w:tcPr>
            <w:tcW w:w="631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99.9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99.0</w:t>
            </w:r>
          </w:p>
        </w:tc>
        <w:tc>
          <w:tcPr>
            <w:tcW w:w="553" w:type="dxa"/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99.9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99.9</w:t>
            </w:r>
          </w:p>
        </w:tc>
        <w:tc>
          <w:tcPr>
            <w:tcW w:w="773" w:type="dxa"/>
            <w:vAlign w:val="center"/>
            <w:hideMark/>
          </w:tcPr>
          <w:p w:rsidR="00BD6AE4" w:rsidRPr="00DD28FD" w:rsidRDefault="00BD6AE4" w:rsidP="00BD6AE4">
            <w:pPr>
              <w:bidi w:val="0"/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DD28FD">
              <w:rPr>
                <w:rFonts w:eastAsia="Times New Roman" w:cs="Times New Roman"/>
                <w:sz w:val="16"/>
                <w:szCs w:val="16"/>
              </w:rPr>
              <w:t>99.9</w:t>
            </w:r>
            <w:r w:rsidRPr="00DD28FD">
              <w:rPr>
                <w:rFonts w:eastAsia="Times New Roman" w:cs="Times New Roman"/>
                <w:sz w:val="14"/>
                <w:szCs w:val="14"/>
              </w:rPr>
              <w:t>(2010)</w:t>
            </w:r>
          </w:p>
        </w:tc>
        <w:tc>
          <w:tcPr>
            <w:tcW w:w="709" w:type="dxa"/>
            <w:vAlign w:val="center"/>
            <w:hideMark/>
          </w:tcPr>
          <w:p w:rsidR="00BD6AE4" w:rsidRPr="00DD28FD" w:rsidRDefault="00BD6AE4" w:rsidP="00BD6AE4">
            <w:pPr>
              <w:bidi w:val="0"/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DD28FD">
              <w:rPr>
                <w:rFonts w:eastAsia="Times New Roman" w:cs="Times New Roman"/>
                <w:sz w:val="16"/>
                <w:szCs w:val="16"/>
              </w:rPr>
              <w:t>99.9</w:t>
            </w:r>
            <w:r w:rsidRPr="00DD28FD">
              <w:rPr>
                <w:rFonts w:eastAsia="Times New Roman" w:cs="Times New Roman"/>
                <w:sz w:val="14"/>
                <w:szCs w:val="14"/>
              </w:rPr>
              <w:t>(2010)</w:t>
            </w:r>
          </w:p>
        </w:tc>
        <w:tc>
          <w:tcPr>
            <w:tcW w:w="708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D6AE4" w:rsidRPr="00DD28FD" w:rsidRDefault="00BD6AE4" w:rsidP="00BD6AE4">
            <w:pPr>
              <w:bidi w:val="0"/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</w:tr>
      <w:tr w:rsidR="00BD6AE4" w:rsidRPr="00941044" w:rsidTr="0022324F">
        <w:trPr>
          <w:trHeight w:val="259"/>
        </w:trPr>
        <w:tc>
          <w:tcPr>
            <w:tcW w:w="954" w:type="dxa"/>
            <w:vMerge/>
            <w:vAlign w:val="center"/>
            <w:hideMark/>
          </w:tcPr>
          <w:p w:rsidR="00BD6AE4" w:rsidRPr="00941044" w:rsidRDefault="00BD6AE4" w:rsidP="00BD6AE4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4124" w:type="dxa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BD6AE4" w:rsidRPr="0001597A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01597A">
              <w:rPr>
                <w:rFonts w:eastAsia="Times New Roman" w:cs="Simplified Arabic"/>
                <w:b/>
                <w:bCs/>
                <w:sz w:val="16"/>
                <w:szCs w:val="16"/>
              </w:rPr>
              <w:t>HUs. C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onnected to sewage system (%)</w:t>
            </w:r>
          </w:p>
        </w:tc>
        <w:tc>
          <w:tcPr>
            <w:tcW w:w="631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60.1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57.3</w:t>
            </w:r>
          </w:p>
        </w:tc>
        <w:tc>
          <w:tcPr>
            <w:tcW w:w="553" w:type="dxa"/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59.9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59.</w:t>
            </w:r>
            <w:r>
              <w:rPr>
                <w:rFonts w:eastAsia="Times New Roman" w:cs="Simplified Arabic"/>
                <w:sz w:val="16"/>
                <w:szCs w:val="16"/>
              </w:rPr>
              <w:t>7</w:t>
            </w:r>
          </w:p>
        </w:tc>
        <w:tc>
          <w:tcPr>
            <w:tcW w:w="773" w:type="dxa"/>
            <w:vAlign w:val="center"/>
            <w:hideMark/>
          </w:tcPr>
          <w:p w:rsidR="00BD6AE4" w:rsidRPr="00DD28FD" w:rsidRDefault="00BD6AE4" w:rsidP="00BD6AE4">
            <w:pPr>
              <w:bidi w:val="0"/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DD28FD">
              <w:rPr>
                <w:rFonts w:eastAsia="Times New Roman" w:cs="Times New Roman"/>
                <w:sz w:val="16"/>
                <w:szCs w:val="16"/>
              </w:rPr>
              <w:t>59.7</w:t>
            </w:r>
            <w:r w:rsidRPr="00DD28FD">
              <w:rPr>
                <w:rFonts w:eastAsia="Times New Roman" w:cs="Times New Roman"/>
                <w:sz w:val="14"/>
                <w:szCs w:val="14"/>
              </w:rPr>
              <w:t>(2010)</w:t>
            </w:r>
          </w:p>
        </w:tc>
        <w:tc>
          <w:tcPr>
            <w:tcW w:w="709" w:type="dxa"/>
            <w:vAlign w:val="center"/>
            <w:hideMark/>
          </w:tcPr>
          <w:p w:rsidR="00BD6AE4" w:rsidRPr="00DD28FD" w:rsidRDefault="00BD6AE4" w:rsidP="00BD6AE4">
            <w:pPr>
              <w:bidi w:val="0"/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DD28FD">
              <w:rPr>
                <w:rFonts w:eastAsia="Times New Roman" w:cs="Times New Roman"/>
                <w:sz w:val="16"/>
                <w:szCs w:val="16"/>
              </w:rPr>
              <w:t>59.7</w:t>
            </w:r>
            <w:r w:rsidRPr="00DD28FD">
              <w:rPr>
                <w:rFonts w:eastAsia="Times New Roman" w:cs="Times New Roman"/>
                <w:sz w:val="14"/>
                <w:szCs w:val="14"/>
              </w:rPr>
              <w:t>(2010)</w:t>
            </w:r>
          </w:p>
        </w:tc>
        <w:tc>
          <w:tcPr>
            <w:tcW w:w="708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D6AE4" w:rsidRPr="00DD28FD" w:rsidRDefault="00BD6AE4" w:rsidP="00BD6AE4">
            <w:pPr>
              <w:bidi w:val="0"/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</w:tr>
      <w:tr w:rsidR="00BD6AE4" w:rsidRPr="00941044" w:rsidTr="0022324F">
        <w:trPr>
          <w:trHeight w:val="264"/>
        </w:trPr>
        <w:tc>
          <w:tcPr>
            <w:tcW w:w="954" w:type="dxa"/>
            <w:vMerge/>
            <w:vAlign w:val="center"/>
            <w:hideMark/>
          </w:tcPr>
          <w:p w:rsidR="00BD6AE4" w:rsidRPr="00941044" w:rsidRDefault="00BD6AE4" w:rsidP="00BD6AE4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4124" w:type="dxa"/>
            <w:shd w:val="clear" w:color="auto" w:fill="F2F2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BD6AE4" w:rsidRPr="001A09E9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F3228F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The ratio of government spending on infrastructure to GDP at constant prices</w:t>
            </w:r>
            <w:r w:rsidRPr="00F3228F">
              <w:rPr>
                <w:rFonts w:eastAsia="Times New Roman" w:cs="Calibri"/>
                <w:b/>
                <w:bCs/>
              </w:rPr>
              <w:t xml:space="preserve"> </w:t>
            </w:r>
            <w:r w:rsidRPr="001A09E9">
              <w:rPr>
                <w:rStyle w:val="FootnoteReference"/>
                <w:rFonts w:eastAsia="Times New Roman" w:cs="Calibri"/>
              </w:rPr>
              <w:footnoteReference w:id="9"/>
            </w:r>
          </w:p>
        </w:tc>
        <w:tc>
          <w:tcPr>
            <w:tcW w:w="631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N.</w:t>
            </w:r>
            <w:r>
              <w:rPr>
                <w:rFonts w:eastAsia="Times New Roman" w:cs="Simplified Arabic"/>
                <w:sz w:val="16"/>
                <w:szCs w:val="16"/>
              </w:rPr>
              <w:t>A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.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N.</w:t>
            </w:r>
            <w:r>
              <w:rPr>
                <w:rFonts w:eastAsia="Times New Roman" w:cs="Simplified Arabic"/>
                <w:sz w:val="16"/>
                <w:szCs w:val="16"/>
              </w:rPr>
              <w:t>A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.</w:t>
            </w:r>
          </w:p>
        </w:tc>
        <w:tc>
          <w:tcPr>
            <w:tcW w:w="553" w:type="dxa"/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4.3</w:t>
            </w:r>
          </w:p>
        </w:tc>
        <w:tc>
          <w:tcPr>
            <w:tcW w:w="645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5.07</w:t>
            </w:r>
          </w:p>
        </w:tc>
        <w:tc>
          <w:tcPr>
            <w:tcW w:w="773" w:type="dxa"/>
            <w:vAlign w:val="center"/>
            <w:hideMark/>
          </w:tcPr>
          <w:p w:rsidR="00BD6AE4" w:rsidRPr="008E254B" w:rsidRDefault="00BD6AE4" w:rsidP="00BD6AE4">
            <w:pPr>
              <w:bidi w:val="0"/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8E254B">
              <w:rPr>
                <w:rFonts w:eastAsia="Times New Roman" w:cs="Times New Roman"/>
                <w:sz w:val="16"/>
                <w:szCs w:val="16"/>
              </w:rPr>
              <w:t>5.0</w:t>
            </w: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BD6AE4" w:rsidRPr="00375905" w:rsidRDefault="00BD6AE4" w:rsidP="00BD6AE4">
            <w:pPr>
              <w:bidi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75905">
              <w:rPr>
                <w:rFonts w:eastAsia="Times New Roman" w:cs="Calibri"/>
                <w:sz w:val="16"/>
                <w:szCs w:val="16"/>
              </w:rPr>
              <w:t>3.01</w:t>
            </w:r>
          </w:p>
        </w:tc>
        <w:tc>
          <w:tcPr>
            <w:tcW w:w="708" w:type="dxa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BD6AE4" w:rsidRPr="008E254B" w:rsidRDefault="00BD6AE4" w:rsidP="00BD6AE4">
            <w:pPr>
              <w:bidi w:val="0"/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BD6AE4" w:rsidRPr="00941044" w:rsidRDefault="00BD6AE4" w:rsidP="00BD6AE4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</w:tr>
    </w:tbl>
    <w:p w:rsidR="00436A5C" w:rsidRPr="00A17399" w:rsidRDefault="00436A5C" w:rsidP="00436A5C">
      <w:pPr>
        <w:bidi w:val="0"/>
        <w:spacing w:after="0" w:line="240" w:lineRule="auto"/>
        <w:ind w:right="-52"/>
        <w:rPr>
          <w:rFonts w:eastAsia="Times New Roman" w:cs="Calibri"/>
        </w:rPr>
      </w:pPr>
      <w:r w:rsidRPr="00A17399">
        <w:rPr>
          <w:rFonts w:eastAsia="Times New Roman" w:cs="Simplified Arabic"/>
          <w:b/>
          <w:bCs/>
          <w:sz w:val="16"/>
          <w:szCs w:val="16"/>
          <w:lang w:bidi="ar-JO"/>
        </w:rPr>
        <w:t>  </w:t>
      </w:r>
      <w:r w:rsidRPr="00A17399">
        <w:rPr>
          <w:rFonts w:eastAsia="Times New Roman" w:cs="Simplified Arabic"/>
          <w:b/>
          <w:bCs/>
          <w:sz w:val="14"/>
          <w:szCs w:val="14"/>
        </w:rPr>
        <w:t xml:space="preserve">Source: </w:t>
      </w:r>
    </w:p>
    <w:p w:rsidR="00436A5C" w:rsidRPr="00436A5C" w:rsidRDefault="00A3676E" w:rsidP="0028742C">
      <w:pPr>
        <w:bidi w:val="0"/>
        <w:spacing w:after="0" w:line="240" w:lineRule="auto"/>
        <w:ind w:left="142" w:right="-52" w:hanging="142"/>
        <w:rPr>
          <w:rFonts w:ascii="Calibri" w:eastAsia="Times New Roman" w:hAnsi="Calibri" w:cs="Calibri"/>
        </w:rPr>
      </w:pPr>
      <w:r>
        <w:rPr>
          <w:rFonts w:ascii="Symbol" w:eastAsia="Times New Roman" w:hAnsi="Symbol" w:cs="Calibri"/>
          <w:sz w:val="12"/>
          <w:szCs w:val="12"/>
        </w:rPr>
        <w:t></w:t>
      </w:r>
      <w:r w:rsidR="00436A5C" w:rsidRPr="00436A5C">
        <w:rPr>
          <w:rFonts w:ascii="Symbol" w:eastAsia="Times New Roman" w:hAnsi="Symbol" w:cs="Calibri"/>
          <w:sz w:val="12"/>
          <w:szCs w:val="12"/>
        </w:rPr>
        <w:t></w:t>
      </w:r>
      <w:r w:rsidR="00436A5C" w:rsidRPr="00436A5C">
        <w:rPr>
          <w:rFonts w:ascii="Times New Roman" w:eastAsia="Times New Roman" w:hAnsi="Times New Roman" w:cs="Times New Roman"/>
          <w:sz w:val="14"/>
          <w:szCs w:val="14"/>
        </w:rPr>
        <w:t> </w:t>
      </w:r>
      <w:r w:rsidR="0028742C" w:rsidRPr="0028742C">
        <w:rPr>
          <w:rFonts w:eastAsia="Times New Roman" w:cstheme="minorHAnsi"/>
          <w:sz w:val="12"/>
          <w:szCs w:val="12"/>
        </w:rPr>
        <w:t>Reports of</w:t>
      </w:r>
      <w:r w:rsidR="00436A5C" w:rsidRPr="00436A5C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436A5C" w:rsidRPr="00A17399">
        <w:rPr>
          <w:rFonts w:eastAsia="Times New Roman" w:cs="Simplified Arabic"/>
          <w:sz w:val="12"/>
          <w:szCs w:val="12"/>
          <w:lang w:bidi="ar-JO"/>
        </w:rPr>
        <w:t>Jordan (2006), (2007), (2009)</w:t>
      </w:r>
      <w:r w:rsidR="00491C2F">
        <w:rPr>
          <w:rFonts w:eastAsia="Times New Roman" w:cs="Simplified Arabic"/>
          <w:sz w:val="12"/>
          <w:szCs w:val="12"/>
          <w:lang w:bidi="ar-JO"/>
        </w:rPr>
        <w:t>,</w:t>
      </w:r>
      <w:r w:rsidR="00436A5C" w:rsidRPr="00A17399">
        <w:rPr>
          <w:rFonts w:eastAsia="Times New Roman" w:cs="Simplified Arabic"/>
          <w:sz w:val="12"/>
          <w:szCs w:val="12"/>
          <w:lang w:bidi="ar-JO"/>
        </w:rPr>
        <w:t xml:space="preserve"> (2010)</w:t>
      </w:r>
      <w:r w:rsidR="0028742C">
        <w:rPr>
          <w:rFonts w:eastAsia="Times New Roman" w:cs="Simplified Arabic"/>
          <w:sz w:val="12"/>
          <w:szCs w:val="12"/>
          <w:lang w:bidi="ar-JO"/>
        </w:rPr>
        <w:t>, (2011)</w:t>
      </w:r>
      <w:r w:rsidR="00342974">
        <w:rPr>
          <w:rFonts w:eastAsia="Times New Roman" w:cs="Simplified Arabic"/>
          <w:sz w:val="12"/>
          <w:szCs w:val="12"/>
          <w:lang w:bidi="ar-JO"/>
        </w:rPr>
        <w:t xml:space="preserve">, (2012) </w:t>
      </w:r>
      <w:r w:rsidR="00436A5C" w:rsidRPr="00A17399">
        <w:rPr>
          <w:rFonts w:eastAsia="Times New Roman" w:cs="Simplified Arabic"/>
          <w:sz w:val="12"/>
          <w:szCs w:val="12"/>
          <w:lang w:bidi="ar-JO"/>
        </w:rPr>
        <w:t>/Department of statistics website.</w:t>
      </w:r>
      <w:r w:rsidR="00436A5C" w:rsidRPr="00A17399">
        <w:rPr>
          <w:rFonts w:eastAsia="Times New Roman" w:cs="Simplified Arabic"/>
          <w:sz w:val="12"/>
          <w:szCs w:val="12"/>
        </w:rPr>
        <w:t xml:space="preserve"> </w:t>
      </w:r>
      <w:r w:rsidR="00436A5C" w:rsidRPr="00A17399">
        <w:rPr>
          <w:rFonts w:eastAsia="Times New Roman" w:cs="Calibri"/>
          <w:sz w:val="12"/>
          <w:szCs w:val="12"/>
        </w:rPr>
        <w:t>www.dos.gov.jo</w:t>
      </w:r>
    </w:p>
    <w:p w:rsidR="00436A5C" w:rsidRPr="00A17399" w:rsidRDefault="00A3676E" w:rsidP="008628FD">
      <w:pPr>
        <w:bidi w:val="0"/>
        <w:spacing w:after="0" w:line="240" w:lineRule="auto"/>
        <w:ind w:right="277"/>
        <w:rPr>
          <w:rFonts w:eastAsia="Times New Roman" w:cs="Calibri"/>
          <w:sz w:val="12"/>
          <w:szCs w:val="12"/>
        </w:rPr>
      </w:pPr>
      <w:r>
        <w:rPr>
          <w:rFonts w:ascii="Symbol" w:eastAsia="Times New Roman" w:hAnsi="Symbol" w:cs="Calibri"/>
          <w:sz w:val="12"/>
          <w:szCs w:val="12"/>
        </w:rPr>
        <w:t></w:t>
      </w:r>
      <w:r w:rsidR="00436A5C" w:rsidRPr="00436A5C">
        <w:rPr>
          <w:rFonts w:ascii="Symbol" w:eastAsia="Times New Roman" w:hAnsi="Symbol" w:cs="Calibri"/>
          <w:sz w:val="12"/>
          <w:szCs w:val="12"/>
        </w:rPr>
        <w:t></w:t>
      </w:r>
      <w:r w:rsidR="000B512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436A5C" w:rsidRPr="00436A5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436A5C" w:rsidRPr="00A17399">
        <w:rPr>
          <w:rFonts w:eastAsia="Times New Roman" w:cs="Simplified Arabic"/>
          <w:sz w:val="12"/>
          <w:szCs w:val="12"/>
          <w:lang w:bidi="ar-JO"/>
        </w:rPr>
        <w:t>Jordanian Central Bank</w:t>
      </w:r>
      <w:r w:rsidR="0028742C">
        <w:rPr>
          <w:rFonts w:eastAsia="Times New Roman" w:cs="Simplified Arabic"/>
          <w:sz w:val="12"/>
          <w:szCs w:val="12"/>
          <w:lang w:bidi="ar-JO"/>
        </w:rPr>
        <w:t xml:space="preserve"> </w:t>
      </w:r>
      <w:r w:rsidR="0028742C" w:rsidRPr="00FA7DBA">
        <w:rPr>
          <w:rFonts w:ascii="Calibri" w:eastAsia="Times New Roman" w:hAnsi="Calibri" w:cs="Simplified Arabic" w:hint="cs"/>
          <w:sz w:val="12"/>
          <w:szCs w:val="12"/>
        </w:rPr>
        <w:t>releases</w:t>
      </w:r>
      <w:r w:rsidR="0028742C">
        <w:rPr>
          <w:rFonts w:ascii="Calibri" w:eastAsia="Times New Roman" w:hAnsi="Calibri" w:cs="Simplified Arabic"/>
          <w:sz w:val="12"/>
          <w:szCs w:val="12"/>
        </w:rPr>
        <w:t xml:space="preserve"> and the</w:t>
      </w:r>
      <w:r w:rsidR="00436A5C" w:rsidRPr="00A17399">
        <w:rPr>
          <w:rFonts w:eastAsia="Times New Roman" w:cs="Simplified Arabic"/>
          <w:sz w:val="12"/>
          <w:szCs w:val="12"/>
          <w:lang w:bidi="ar-JO"/>
        </w:rPr>
        <w:t xml:space="preserve"> website.</w:t>
      </w:r>
      <w:r w:rsidR="00436A5C" w:rsidRPr="00A17399">
        <w:rPr>
          <w:rFonts w:eastAsia="Times New Roman" w:cs="Simplified Arabic"/>
          <w:sz w:val="12"/>
          <w:szCs w:val="12"/>
        </w:rPr>
        <w:t xml:space="preserve"> </w:t>
      </w:r>
      <w:hyperlink r:id="rId7" w:tgtFrame="_top" w:history="1">
        <w:r w:rsidR="00436A5C" w:rsidRPr="00A17399">
          <w:rPr>
            <w:rFonts w:eastAsia="Times New Roman" w:cs="Calibri"/>
            <w:color w:val="0000FF"/>
            <w:sz w:val="12"/>
            <w:szCs w:val="12"/>
            <w:u w:val="single"/>
            <w:lang w:val="en-AU"/>
          </w:rPr>
          <w:t>www.cbj.gov.jo</w:t>
        </w:r>
        <w:r w:rsidR="00436A5C" w:rsidRPr="00A17399">
          <w:rPr>
            <w:rFonts w:eastAsia="Times New Roman" w:cs="Calibri"/>
            <w:color w:val="0000FF"/>
            <w:sz w:val="12"/>
            <w:szCs w:val="12"/>
            <w:u w:val="single"/>
          </w:rPr>
          <w:t xml:space="preserve"> </w:t>
        </w:r>
      </w:hyperlink>
      <w:r w:rsidR="008628FD">
        <w:rPr>
          <w:rFonts w:eastAsia="Times New Roman" w:cs="Simplified Arabic"/>
          <w:sz w:val="12"/>
          <w:szCs w:val="12"/>
          <w:lang w:bidi="ar-JO"/>
        </w:rPr>
        <w:t>a</w:t>
      </w:r>
      <w:r w:rsidR="00436A5C" w:rsidRPr="00A17399">
        <w:rPr>
          <w:rFonts w:eastAsia="Times New Roman" w:cs="Simplified Arabic"/>
          <w:sz w:val="12"/>
          <w:szCs w:val="12"/>
          <w:lang w:bidi="ar-JO"/>
        </w:rPr>
        <w:t>nd the</w:t>
      </w:r>
      <w:r w:rsidR="0028742C" w:rsidRPr="00A17399">
        <w:rPr>
          <w:rFonts w:eastAsia="Times New Roman" w:cs="Simplified Arabic"/>
          <w:sz w:val="12"/>
          <w:szCs w:val="12"/>
          <w:lang w:bidi="ar-JO"/>
        </w:rPr>
        <w:t xml:space="preserve"> official</w:t>
      </w:r>
      <w:r w:rsidR="0028742C">
        <w:rPr>
          <w:rFonts w:eastAsia="Times New Roman" w:cs="Simplified Arabic"/>
          <w:sz w:val="12"/>
          <w:szCs w:val="12"/>
          <w:lang w:bidi="ar-JO"/>
        </w:rPr>
        <w:t xml:space="preserve"> books from </w:t>
      </w:r>
      <w:r w:rsidR="0028742C" w:rsidRPr="00A17399">
        <w:rPr>
          <w:rFonts w:eastAsia="Times New Roman" w:cs="Simplified Arabic"/>
          <w:sz w:val="12"/>
          <w:szCs w:val="12"/>
          <w:lang w:bidi="ar-JO"/>
        </w:rPr>
        <w:t>Jordanian Central Bank</w:t>
      </w:r>
      <w:r w:rsidR="0028742C">
        <w:rPr>
          <w:rFonts w:eastAsia="Times New Roman" w:cs="Simplified Arabic"/>
          <w:sz w:val="12"/>
          <w:szCs w:val="12"/>
          <w:lang w:bidi="ar-JO"/>
        </w:rPr>
        <w:t>.</w:t>
      </w:r>
      <w:r w:rsidR="00436A5C" w:rsidRPr="00A17399">
        <w:rPr>
          <w:rFonts w:eastAsia="Times New Roman" w:cs="Simplified Arabic"/>
          <w:sz w:val="12"/>
          <w:szCs w:val="12"/>
          <w:lang w:bidi="ar-JO"/>
        </w:rPr>
        <w:t xml:space="preserve"> </w:t>
      </w:r>
    </w:p>
    <w:p w:rsidR="00436A5C" w:rsidRPr="00436A5C" w:rsidRDefault="00436A5C" w:rsidP="006A6613">
      <w:pPr>
        <w:bidi w:val="0"/>
        <w:spacing w:after="0" w:line="240" w:lineRule="auto"/>
        <w:ind w:right="232" w:firstLine="45"/>
        <w:rPr>
          <w:rFonts w:ascii="Calibri" w:eastAsia="Times New Roman" w:hAnsi="Calibri" w:cs="Calibri"/>
        </w:rPr>
      </w:pPr>
      <w:r w:rsidRPr="00436A5C">
        <w:rPr>
          <w:rFonts w:ascii="Symbol" w:eastAsia="Times New Roman" w:hAnsi="Symbol" w:cs="Calibri"/>
          <w:sz w:val="12"/>
          <w:szCs w:val="12"/>
        </w:rPr>
        <w:t></w:t>
      </w:r>
      <w:r w:rsidRPr="00436A5C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436A5C">
        <w:rPr>
          <w:rFonts w:ascii="Simplified Arabic" w:eastAsia="Times New Roman" w:hAnsi="Simplified Arabic" w:cs="Simplified Arabic"/>
          <w:sz w:val="12"/>
          <w:szCs w:val="12"/>
        </w:rPr>
        <w:t> </w:t>
      </w:r>
      <w:r w:rsidRPr="00A17399">
        <w:rPr>
          <w:rFonts w:eastAsia="Times New Roman" w:cs="Simplified Arabic"/>
          <w:sz w:val="12"/>
          <w:szCs w:val="12"/>
        </w:rPr>
        <w:t>Annual report (2010), (2011)</w:t>
      </w:r>
      <w:r w:rsidR="00F1056E">
        <w:rPr>
          <w:rFonts w:eastAsia="Times New Roman" w:cs="Simplified Arabic"/>
          <w:sz w:val="12"/>
          <w:szCs w:val="12"/>
        </w:rPr>
        <w:t xml:space="preserve">, (2012) </w:t>
      </w:r>
      <w:r w:rsidRPr="00A17399">
        <w:rPr>
          <w:rFonts w:eastAsia="Times New Roman" w:cs="Simplified Arabic"/>
          <w:sz w:val="12"/>
          <w:szCs w:val="12"/>
        </w:rPr>
        <w:t>/DLs.</w:t>
      </w:r>
    </w:p>
    <w:p w:rsidR="00436A5C" w:rsidRPr="00436A5C" w:rsidRDefault="00436A5C" w:rsidP="00595CFC">
      <w:pPr>
        <w:shd w:val="clear" w:color="auto" w:fill="FFFFFF" w:themeFill="background1"/>
        <w:bidi w:val="0"/>
        <w:spacing w:after="0" w:line="240" w:lineRule="auto"/>
        <w:ind w:right="232" w:firstLine="45"/>
        <w:rPr>
          <w:rFonts w:ascii="Calibri" w:eastAsia="Times New Roman" w:hAnsi="Calibri" w:cs="Calibri"/>
        </w:rPr>
      </w:pPr>
      <w:r w:rsidRPr="00436A5C">
        <w:rPr>
          <w:rFonts w:ascii="Symbol" w:eastAsia="Times New Roman" w:hAnsi="Symbol" w:cs="Calibri"/>
          <w:sz w:val="12"/>
          <w:szCs w:val="12"/>
        </w:rPr>
        <w:t></w:t>
      </w:r>
      <w:r w:rsidRPr="00436A5C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17399">
        <w:rPr>
          <w:rFonts w:eastAsia="Times New Roman" w:cs="Simplified Arabic"/>
          <w:sz w:val="12"/>
          <w:szCs w:val="12"/>
          <w:lang w:bidi="ar-JO"/>
        </w:rPr>
        <w:t xml:space="preserve">Study of financial leasing in the Jordan/IFC ( </w:t>
      </w:r>
      <w:r w:rsidRPr="00A17399">
        <w:rPr>
          <w:rFonts w:eastAsia="Times New Roman" w:cs="Calibri"/>
          <w:sz w:val="12"/>
          <w:szCs w:val="12"/>
        </w:rPr>
        <w:t>I.F.C</w:t>
      </w:r>
      <w:r w:rsidRPr="00A17399">
        <w:rPr>
          <w:rFonts w:eastAsia="Times New Roman" w:cs="Simplified Arabic"/>
          <w:sz w:val="12"/>
          <w:szCs w:val="12"/>
          <w:lang w:bidi="ar-JO"/>
        </w:rPr>
        <w:t>).</w:t>
      </w:r>
    </w:p>
    <w:p w:rsidR="00436A5C" w:rsidRPr="00A17399" w:rsidRDefault="00A17399" w:rsidP="001E154D">
      <w:pPr>
        <w:bidi w:val="0"/>
        <w:spacing w:after="0" w:line="240" w:lineRule="auto"/>
        <w:ind w:right="232" w:firstLine="45"/>
        <w:rPr>
          <w:rFonts w:eastAsia="Times New Roman" w:cs="Calibri"/>
        </w:rPr>
      </w:pPr>
      <w:r w:rsidRPr="00436A5C">
        <w:rPr>
          <w:rFonts w:ascii="Symbol" w:eastAsia="Times New Roman" w:hAnsi="Symbol" w:cs="Calibri"/>
          <w:sz w:val="12"/>
          <w:szCs w:val="12"/>
        </w:rPr>
        <w:t></w:t>
      </w:r>
      <w:r w:rsidR="000B512F">
        <w:rPr>
          <w:rFonts w:eastAsia="Times New Roman" w:cs="Times New Roman"/>
          <w:sz w:val="14"/>
          <w:szCs w:val="14"/>
        </w:rPr>
        <w:t> </w:t>
      </w:r>
      <w:r w:rsidR="00436A5C" w:rsidRPr="00A17399">
        <w:rPr>
          <w:rFonts w:eastAsia="Times New Roman" w:cs="Times New Roman"/>
          <w:sz w:val="14"/>
          <w:szCs w:val="14"/>
        </w:rPr>
        <w:t xml:space="preserve"> </w:t>
      </w:r>
      <w:r w:rsidR="00436A5C" w:rsidRPr="00A17399">
        <w:rPr>
          <w:rFonts w:eastAsia="Times New Roman" w:cs="Simplified Arabic"/>
          <w:sz w:val="12"/>
          <w:szCs w:val="12"/>
          <w:lang w:bidi="ar-JO"/>
        </w:rPr>
        <w:t>(</w:t>
      </w:r>
      <w:r w:rsidR="001E154D" w:rsidRPr="00696A2D">
        <w:rPr>
          <w:rFonts w:eastAsia="Times New Roman" w:cs="Simplified Arabic"/>
          <w:sz w:val="12"/>
          <w:szCs w:val="12"/>
        </w:rPr>
        <w:t>N.A</w:t>
      </w:r>
      <w:r w:rsidR="00436A5C" w:rsidRPr="00A17399">
        <w:rPr>
          <w:rFonts w:eastAsia="Times New Roman" w:cs="Simplified Arabic"/>
          <w:sz w:val="12"/>
          <w:szCs w:val="12"/>
          <w:lang w:bidi="ar-JO"/>
        </w:rPr>
        <w:t xml:space="preserve">): means that </w:t>
      </w:r>
      <w:r w:rsidR="001E154D">
        <w:rPr>
          <w:rFonts w:eastAsia="Times New Roman" w:cs="Simplified Arabic"/>
          <w:sz w:val="12"/>
          <w:szCs w:val="12"/>
          <w:lang w:bidi="ar-JO"/>
        </w:rPr>
        <w:t>data</w:t>
      </w:r>
      <w:r w:rsidR="00436A5C" w:rsidRPr="00A17399">
        <w:rPr>
          <w:rFonts w:eastAsia="Times New Roman" w:cs="Simplified Arabic"/>
          <w:sz w:val="12"/>
          <w:szCs w:val="12"/>
          <w:lang w:bidi="ar-JO"/>
        </w:rPr>
        <w:t xml:space="preserve"> is not available.</w:t>
      </w:r>
    </w:p>
    <w:p w:rsidR="00436A5C" w:rsidRPr="00853B2F" w:rsidRDefault="00436A5C" w:rsidP="00853B2F">
      <w:pPr>
        <w:bidi w:val="0"/>
        <w:spacing w:after="0" w:line="240" w:lineRule="auto"/>
        <w:ind w:right="232" w:firstLine="45"/>
        <w:rPr>
          <w:rFonts w:ascii="Calibri" w:eastAsia="Times New Roman" w:hAnsi="Calibri" w:cs="Calibri"/>
        </w:rPr>
      </w:pPr>
      <w:r w:rsidRPr="00436A5C">
        <w:rPr>
          <w:rFonts w:ascii="Symbol" w:eastAsia="Times New Roman" w:hAnsi="Symbol" w:cs="Calibri"/>
          <w:sz w:val="12"/>
          <w:szCs w:val="12"/>
        </w:rPr>
        <w:t></w:t>
      </w:r>
      <w:r w:rsidR="000B512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436A5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17399">
        <w:rPr>
          <w:rFonts w:eastAsia="Times New Roman" w:cs="Simplified Arabic"/>
          <w:sz w:val="12"/>
          <w:szCs w:val="12"/>
          <w:lang w:bidi="ar-JO"/>
        </w:rPr>
        <w:t>*</w:t>
      </w:r>
      <w:r w:rsidR="003539C3">
        <w:rPr>
          <w:rFonts w:eastAsia="Times New Roman" w:cs="Simplified Arabic"/>
          <w:sz w:val="12"/>
          <w:szCs w:val="12"/>
          <w:lang w:bidi="ar-JO"/>
        </w:rPr>
        <w:t>:</w:t>
      </w:r>
      <w:r w:rsidRPr="00A17399">
        <w:rPr>
          <w:rFonts w:eastAsia="Times New Roman" w:cs="Simplified Arabic"/>
          <w:sz w:val="12"/>
          <w:szCs w:val="12"/>
          <w:lang w:bidi="ar-JO"/>
        </w:rPr>
        <w:t xml:space="preserve"> Quarterly estimates.</w:t>
      </w:r>
    </w:p>
    <w:p w:rsidR="00853B2F" w:rsidRDefault="00853B2F" w:rsidP="001E154D">
      <w:pPr>
        <w:bidi w:val="0"/>
        <w:spacing w:after="0" w:line="240" w:lineRule="auto"/>
        <w:ind w:right="-1186"/>
        <w:rPr>
          <w:rFonts w:ascii="Calibri" w:eastAsia="Times New Roman" w:hAnsi="Calibri" w:cs="Times New Roman"/>
        </w:rPr>
      </w:pPr>
    </w:p>
    <w:p w:rsidR="00941044" w:rsidRDefault="00941044" w:rsidP="00941044">
      <w:pPr>
        <w:bidi w:val="0"/>
        <w:spacing w:after="0" w:line="240" w:lineRule="auto"/>
        <w:ind w:right="232" w:firstLine="45"/>
        <w:rPr>
          <w:rFonts w:ascii="Calibri" w:eastAsia="Times New Roman" w:hAnsi="Calibri" w:cs="Calibri"/>
          <w:sz w:val="20"/>
          <w:szCs w:val="20"/>
        </w:rPr>
      </w:pPr>
    </w:p>
    <w:p w:rsidR="00941044" w:rsidRDefault="00941044" w:rsidP="00941044">
      <w:pPr>
        <w:bidi w:val="0"/>
        <w:spacing w:after="0" w:line="240" w:lineRule="auto"/>
        <w:ind w:right="232" w:firstLine="45"/>
        <w:rPr>
          <w:rFonts w:ascii="Calibri" w:eastAsia="Times New Roman" w:hAnsi="Calibri" w:cs="Calibri"/>
          <w:sz w:val="20"/>
          <w:szCs w:val="20"/>
        </w:rPr>
      </w:pPr>
    </w:p>
    <w:p w:rsidR="00A442D7" w:rsidRDefault="00A442D7" w:rsidP="00A442D7">
      <w:pPr>
        <w:bidi w:val="0"/>
        <w:spacing w:after="0" w:line="240" w:lineRule="auto"/>
        <w:ind w:right="232" w:firstLine="45"/>
        <w:rPr>
          <w:rFonts w:ascii="Calibri" w:eastAsia="Times New Roman" w:hAnsi="Calibri" w:cs="Calibri"/>
          <w:sz w:val="20"/>
          <w:szCs w:val="20"/>
        </w:rPr>
      </w:pPr>
    </w:p>
    <w:p w:rsidR="00750F14" w:rsidRDefault="00750F14" w:rsidP="00750F14">
      <w:pPr>
        <w:bidi w:val="0"/>
        <w:spacing w:after="0" w:line="240" w:lineRule="auto"/>
        <w:ind w:right="232" w:firstLine="45"/>
        <w:rPr>
          <w:rFonts w:ascii="Calibri" w:eastAsia="Times New Roman" w:hAnsi="Calibri" w:cs="Calibri"/>
          <w:sz w:val="20"/>
          <w:szCs w:val="20"/>
        </w:rPr>
      </w:pPr>
    </w:p>
    <w:p w:rsidR="00F472CF" w:rsidRDefault="00F472CF" w:rsidP="00F472CF">
      <w:pPr>
        <w:bidi w:val="0"/>
        <w:spacing w:after="0" w:line="240" w:lineRule="auto"/>
        <w:ind w:right="232" w:firstLine="45"/>
        <w:rPr>
          <w:rFonts w:ascii="Calibri" w:eastAsia="Times New Roman" w:hAnsi="Calibri" w:cs="Calibri"/>
          <w:sz w:val="20"/>
          <w:szCs w:val="20"/>
        </w:rPr>
      </w:pPr>
    </w:p>
    <w:p w:rsidR="00F472CF" w:rsidRDefault="00F472CF" w:rsidP="00F472CF">
      <w:pPr>
        <w:bidi w:val="0"/>
        <w:spacing w:after="0" w:line="240" w:lineRule="auto"/>
        <w:ind w:right="232" w:firstLine="45"/>
        <w:rPr>
          <w:rFonts w:ascii="Calibri" w:eastAsia="Times New Roman" w:hAnsi="Calibri" w:cs="Calibri"/>
          <w:sz w:val="20"/>
          <w:szCs w:val="20"/>
        </w:rPr>
      </w:pPr>
    </w:p>
    <w:p w:rsidR="00F472CF" w:rsidRDefault="00F472CF" w:rsidP="00F472CF">
      <w:pPr>
        <w:bidi w:val="0"/>
        <w:spacing w:after="0" w:line="240" w:lineRule="auto"/>
        <w:ind w:right="232" w:firstLine="45"/>
        <w:rPr>
          <w:rFonts w:ascii="Calibri" w:eastAsia="Times New Roman" w:hAnsi="Calibri" w:cs="Calibri"/>
          <w:sz w:val="20"/>
          <w:szCs w:val="20"/>
        </w:rPr>
      </w:pPr>
    </w:p>
    <w:p w:rsidR="00F472CF" w:rsidRDefault="00F472CF" w:rsidP="00F472CF">
      <w:pPr>
        <w:bidi w:val="0"/>
        <w:spacing w:after="0" w:line="240" w:lineRule="auto"/>
        <w:ind w:right="232" w:firstLine="45"/>
        <w:rPr>
          <w:rFonts w:ascii="Calibri" w:eastAsia="Times New Roman" w:hAnsi="Calibri" w:cs="Calibri"/>
          <w:sz w:val="20"/>
          <w:szCs w:val="20"/>
        </w:rPr>
      </w:pPr>
    </w:p>
    <w:p w:rsidR="00A442D7" w:rsidRDefault="00A442D7" w:rsidP="00A442D7">
      <w:pPr>
        <w:bidi w:val="0"/>
        <w:spacing w:after="0" w:line="240" w:lineRule="auto"/>
        <w:ind w:right="232" w:firstLine="45"/>
        <w:rPr>
          <w:rFonts w:ascii="Calibri" w:eastAsia="Times New Roman" w:hAnsi="Calibri" w:cs="Calibri"/>
          <w:sz w:val="20"/>
          <w:szCs w:val="20"/>
        </w:rPr>
      </w:pPr>
    </w:p>
    <w:p w:rsidR="00941044" w:rsidRDefault="00941044" w:rsidP="00941044">
      <w:pPr>
        <w:bidi w:val="0"/>
        <w:spacing w:after="0" w:line="240" w:lineRule="auto"/>
        <w:ind w:right="232" w:firstLine="45"/>
        <w:rPr>
          <w:rFonts w:ascii="Calibri" w:eastAsia="Times New Roman" w:hAnsi="Calibri" w:cs="Calibri"/>
          <w:sz w:val="20"/>
          <w:szCs w:val="20"/>
        </w:rPr>
      </w:pPr>
    </w:p>
    <w:p w:rsidR="001D217D" w:rsidRPr="00941044" w:rsidRDefault="001D217D" w:rsidP="00A21DDB">
      <w:pPr>
        <w:bidi w:val="0"/>
        <w:spacing w:after="0" w:line="240" w:lineRule="auto"/>
        <w:ind w:left="-1276" w:right="232"/>
        <w:rPr>
          <w:rFonts w:eastAsia="Times New Roman" w:cs="Calibri"/>
        </w:rPr>
      </w:pPr>
      <w:r w:rsidRPr="00941044">
        <w:rPr>
          <w:rFonts w:eastAsia="Times New Roman" w:cs="Simplified Arabic"/>
          <w:b/>
          <w:bCs/>
          <w:sz w:val="28"/>
          <w:szCs w:val="28"/>
        </w:rPr>
        <w:lastRenderedPageBreak/>
        <w:t>Urban indicators</w:t>
      </w:r>
    </w:p>
    <w:tbl>
      <w:tblPr>
        <w:tblpPr w:leftFromText="180" w:rightFromText="180" w:vertAnchor="text" w:horzAnchor="margin" w:tblpXSpec="center" w:tblpY="220"/>
        <w:tblW w:w="10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3679"/>
        <w:gridCol w:w="817"/>
        <w:gridCol w:w="818"/>
        <w:gridCol w:w="693"/>
        <w:gridCol w:w="675"/>
        <w:gridCol w:w="689"/>
        <w:gridCol w:w="709"/>
        <w:gridCol w:w="567"/>
        <w:gridCol w:w="1072"/>
      </w:tblGrid>
      <w:tr w:rsidR="00F472CF" w:rsidRPr="00941044" w:rsidTr="00055A0D">
        <w:trPr>
          <w:trHeight w:val="141"/>
        </w:trPr>
        <w:tc>
          <w:tcPr>
            <w:tcW w:w="861" w:type="dxa"/>
            <w:vMerge w:val="restart"/>
            <w:shd w:val="clear" w:color="auto" w:fill="F2F2F2"/>
            <w:vAlign w:val="center"/>
            <w:hideMark/>
          </w:tcPr>
          <w:p w:rsidR="00F472CF" w:rsidRPr="00941044" w:rsidRDefault="00F472CF" w:rsidP="00080BC7">
            <w:pPr>
              <w:bidi w:val="0"/>
              <w:spacing w:after="0" w:line="141" w:lineRule="atLeast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Indicator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  <w:rtl/>
              </w:rPr>
              <w:t xml:space="preserve">  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679" w:type="dxa"/>
            <w:vMerge w:val="restart"/>
            <w:shd w:val="clear" w:color="auto" w:fill="F2F2F2"/>
            <w:vAlign w:val="center"/>
            <w:hideMark/>
          </w:tcPr>
          <w:p w:rsidR="00F472CF" w:rsidRPr="00941044" w:rsidRDefault="00F472CF" w:rsidP="001D217D">
            <w:pPr>
              <w:bidi w:val="0"/>
              <w:spacing w:after="0" w:line="141" w:lineRule="atLeast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Indicator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968" w:type="dxa"/>
            <w:gridSpan w:val="7"/>
            <w:shd w:val="clear" w:color="auto" w:fill="F2F2F2"/>
            <w:hideMark/>
          </w:tcPr>
          <w:p w:rsidR="00F472CF" w:rsidRPr="00941044" w:rsidRDefault="00F472CF" w:rsidP="001D217D">
            <w:pPr>
              <w:bidi w:val="0"/>
              <w:spacing w:after="0" w:line="141" w:lineRule="atLeast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072" w:type="dxa"/>
            <w:vMerge w:val="restart"/>
            <w:shd w:val="clear" w:color="auto" w:fill="F2F2F2"/>
            <w:hideMark/>
          </w:tcPr>
          <w:p w:rsidR="00F472CF" w:rsidRPr="00941044" w:rsidRDefault="00F472CF" w:rsidP="00750F14">
            <w:pPr>
              <w:bidi w:val="0"/>
              <w:spacing w:after="0" w:line="141" w:lineRule="atLeast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Frequency of data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collection</w:t>
            </w:r>
          </w:p>
        </w:tc>
      </w:tr>
      <w:tr w:rsidR="00F472CF" w:rsidRPr="00941044" w:rsidTr="00F472CF">
        <w:trPr>
          <w:trHeight w:val="141"/>
        </w:trPr>
        <w:tc>
          <w:tcPr>
            <w:tcW w:w="861" w:type="dxa"/>
            <w:vMerge/>
            <w:vAlign w:val="center"/>
            <w:hideMark/>
          </w:tcPr>
          <w:p w:rsidR="00F472CF" w:rsidRPr="00941044" w:rsidRDefault="00F472CF" w:rsidP="00F472CF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679" w:type="dxa"/>
            <w:vMerge/>
            <w:vAlign w:val="center"/>
            <w:hideMark/>
          </w:tcPr>
          <w:p w:rsidR="00F472CF" w:rsidRPr="00941044" w:rsidRDefault="00F472CF" w:rsidP="00F472CF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817" w:type="dxa"/>
            <w:shd w:val="clear" w:color="auto" w:fill="F2F2F2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472CF" w:rsidRPr="00941044" w:rsidRDefault="00F472CF" w:rsidP="00F472CF">
            <w:pPr>
              <w:bidi w:val="0"/>
              <w:spacing w:after="0" w:line="141" w:lineRule="atLeast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b/>
                <w:bCs/>
                <w:sz w:val="20"/>
                <w:szCs w:val="20"/>
                <w:lang w:bidi="ar-JO"/>
              </w:rPr>
              <w:t>2004</w:t>
            </w:r>
          </w:p>
        </w:tc>
        <w:tc>
          <w:tcPr>
            <w:tcW w:w="818" w:type="dxa"/>
            <w:shd w:val="clear" w:color="auto" w:fill="F2F2F2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472CF" w:rsidRPr="00941044" w:rsidRDefault="00F472CF" w:rsidP="00F472CF">
            <w:pPr>
              <w:bidi w:val="0"/>
              <w:spacing w:after="0" w:line="141" w:lineRule="atLeast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  <w:lang w:bidi="ar-JO"/>
              </w:rPr>
              <w:t>2006</w:t>
            </w:r>
          </w:p>
        </w:tc>
        <w:tc>
          <w:tcPr>
            <w:tcW w:w="693" w:type="dxa"/>
            <w:shd w:val="clear" w:color="auto" w:fill="F2F2F2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472CF" w:rsidRPr="00941044" w:rsidRDefault="00F472CF" w:rsidP="00F472CF">
            <w:pPr>
              <w:bidi w:val="0"/>
              <w:spacing w:after="0" w:line="141" w:lineRule="atLeast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b/>
                <w:bCs/>
                <w:sz w:val="20"/>
                <w:szCs w:val="20"/>
                <w:lang w:bidi="ar-JO"/>
              </w:rPr>
              <w:t>2008</w:t>
            </w:r>
          </w:p>
        </w:tc>
        <w:tc>
          <w:tcPr>
            <w:tcW w:w="675" w:type="dxa"/>
            <w:shd w:val="clear" w:color="auto" w:fill="F2F2F2"/>
            <w:vAlign w:val="center"/>
            <w:hideMark/>
          </w:tcPr>
          <w:p w:rsidR="00F472CF" w:rsidRPr="00941044" w:rsidRDefault="00F472CF" w:rsidP="00F472CF">
            <w:pPr>
              <w:bidi w:val="0"/>
              <w:spacing w:after="0" w:line="141" w:lineRule="atLeast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689" w:type="dxa"/>
            <w:shd w:val="clear" w:color="auto" w:fill="F2F2F2"/>
            <w:vAlign w:val="center"/>
            <w:hideMark/>
          </w:tcPr>
          <w:p w:rsidR="00F472CF" w:rsidRPr="00941044" w:rsidRDefault="00F472CF" w:rsidP="00F472CF">
            <w:pPr>
              <w:bidi w:val="0"/>
              <w:spacing w:after="0" w:line="141" w:lineRule="atLeast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b/>
                <w:bCs/>
                <w:sz w:val="20"/>
                <w:szCs w:val="20"/>
                <w:lang w:bidi="ar-JO"/>
              </w:rPr>
              <w:t>2011</w:t>
            </w:r>
          </w:p>
        </w:tc>
        <w:tc>
          <w:tcPr>
            <w:tcW w:w="709" w:type="dxa"/>
            <w:shd w:val="clear" w:color="auto" w:fill="F2F2F2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472CF" w:rsidRPr="00F472CF" w:rsidRDefault="00F472CF" w:rsidP="00F472CF">
            <w:pPr>
              <w:bidi w:val="0"/>
              <w:spacing w:after="0" w:line="141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472CF">
              <w:rPr>
                <w:rFonts w:eastAsia="Times New Roman" w:cs="Calibri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F472CF" w:rsidRPr="00F472CF" w:rsidRDefault="00F472CF" w:rsidP="00F472CF">
            <w:pPr>
              <w:bidi w:val="0"/>
              <w:spacing w:after="0" w:line="141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472CF">
              <w:rPr>
                <w:rFonts w:eastAsia="Times New Roman" w:cs="Calibr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072" w:type="dxa"/>
            <w:vMerge/>
            <w:vAlign w:val="center"/>
            <w:hideMark/>
          </w:tcPr>
          <w:p w:rsidR="00F472CF" w:rsidRPr="00941044" w:rsidRDefault="00F472CF" w:rsidP="00F472CF">
            <w:pPr>
              <w:bidi w:val="0"/>
              <w:rPr>
                <w:rFonts w:eastAsia="Times New Roman" w:cs="Calibri"/>
              </w:rPr>
            </w:pPr>
          </w:p>
        </w:tc>
      </w:tr>
      <w:tr w:rsidR="00960E83" w:rsidRPr="00941044" w:rsidTr="00F472CF">
        <w:trPr>
          <w:trHeight w:val="282"/>
        </w:trPr>
        <w:tc>
          <w:tcPr>
            <w:tcW w:w="861" w:type="dxa"/>
            <w:vMerge w:val="restart"/>
            <w:shd w:val="clear" w:color="auto" w:fill="F2F2F2"/>
            <w:tcMar>
              <w:top w:w="32" w:type="dxa"/>
              <w:left w:w="85" w:type="dxa"/>
              <w:bottom w:w="0" w:type="dxa"/>
              <w:right w:w="85" w:type="dxa"/>
            </w:tcMar>
            <w:textDirection w:val="btLr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ind w:left="113" w:right="113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  <w:lang w:bidi="ar-JO"/>
              </w:rPr>
              <w:t>Housing inventory</w:t>
            </w:r>
            <w:r w:rsidRPr="00941044">
              <w:rPr>
                <w:rFonts w:eastAsia="Times New Roman" w:cs="Calibri"/>
                <w:b/>
                <w:bCs/>
              </w:rPr>
              <w:t xml:space="preserve"> </w:t>
            </w:r>
            <w:r>
              <w:rPr>
                <w:rStyle w:val="FootnoteReference"/>
                <w:rFonts w:eastAsia="Times New Roman" w:cs="Calibri"/>
              </w:rPr>
              <w:footnoteReference w:id="10"/>
            </w:r>
          </w:p>
        </w:tc>
        <w:tc>
          <w:tcPr>
            <w:tcW w:w="3679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960E83" w:rsidRPr="00E71751" w:rsidRDefault="00960E83" w:rsidP="00960E83">
            <w:pPr>
              <w:bidi w:val="0"/>
              <w:spacing w:after="0" w:line="240" w:lineRule="auto"/>
              <w:rPr>
                <w:rFonts w:eastAsia="Times New Roman" w:cs="Simplified Arabic"/>
                <w:b/>
                <w:bCs/>
                <w:sz w:val="16"/>
                <w:szCs w:val="16"/>
              </w:rPr>
            </w:pPr>
            <w:r w:rsidRPr="00E46784">
              <w:rPr>
                <w:rFonts w:eastAsia="Times New Roman" w:cs="Simplified Arabic"/>
                <w:b/>
                <w:bCs/>
                <w:sz w:val="16"/>
                <w:szCs w:val="16"/>
              </w:rPr>
              <w:t>Total</w:t>
            </w:r>
            <w:r w:rsidRPr="00E71751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</w:t>
            </w:r>
            <w:r w:rsidRPr="00E46784">
              <w:rPr>
                <w:rFonts w:eastAsia="Times New Roman" w:cs="Simplified Arabic"/>
                <w:b/>
                <w:bCs/>
                <w:sz w:val="16"/>
                <w:szCs w:val="16"/>
              </w:rPr>
              <w:t>no</w:t>
            </w:r>
            <w:r w:rsidRPr="00E71751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. </w:t>
            </w:r>
            <w:r w:rsidRPr="00E46784">
              <w:rPr>
                <w:rFonts w:eastAsia="Times New Roman" w:cs="Simplified Arabic"/>
                <w:b/>
                <w:bCs/>
                <w:sz w:val="16"/>
                <w:szCs w:val="16"/>
              </w:rPr>
              <w:t>of</w:t>
            </w:r>
            <w:r w:rsidRPr="00E71751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</w:t>
            </w:r>
            <w:r w:rsidRPr="00E46784">
              <w:rPr>
                <w:rFonts w:eastAsia="Times New Roman" w:cs="Simplified Arabic"/>
                <w:b/>
                <w:bCs/>
                <w:sz w:val="16"/>
                <w:szCs w:val="16"/>
              </w:rPr>
              <w:t>housing</w:t>
            </w:r>
            <w:r w:rsidRPr="00E71751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</w:t>
            </w:r>
            <w:r w:rsidRPr="00E46784">
              <w:rPr>
                <w:rFonts w:eastAsia="Times New Roman" w:cs="Simplified Arabic"/>
                <w:b/>
                <w:bCs/>
                <w:sz w:val="16"/>
                <w:szCs w:val="16"/>
              </w:rPr>
              <w:t>units</w:t>
            </w:r>
            <w:r w:rsidRPr="00E71751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</w:t>
            </w:r>
            <w:r w:rsidRPr="00E46784">
              <w:rPr>
                <w:rFonts w:eastAsia="Times New Roman" w:cs="Simplified Arabic"/>
                <w:b/>
                <w:bCs/>
                <w:sz w:val="16"/>
                <w:szCs w:val="16"/>
              </w:rPr>
              <w:t>in</w:t>
            </w:r>
            <w:r w:rsidRPr="00E71751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</w:t>
            </w:r>
            <w:r w:rsidRPr="00E46784">
              <w:rPr>
                <w:rFonts w:eastAsia="Times New Roman" w:cs="Simplified Arabic"/>
                <w:b/>
                <w:bCs/>
                <w:sz w:val="16"/>
                <w:szCs w:val="16"/>
              </w:rPr>
              <w:t>the</w:t>
            </w:r>
            <w:r w:rsidRPr="00E71751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</w:t>
            </w:r>
            <w:r w:rsidRPr="00E46784">
              <w:rPr>
                <w:rFonts w:eastAsia="Times New Roman" w:cs="Simplified Arabic"/>
                <w:b/>
                <w:bCs/>
                <w:sz w:val="16"/>
                <w:szCs w:val="16"/>
              </w:rPr>
              <w:t>Kingdom</w:t>
            </w:r>
            <w:r w:rsidRPr="00E71751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(</w:t>
            </w:r>
            <w:r w:rsidRPr="00E46784">
              <w:rPr>
                <w:rFonts w:eastAsia="Times New Roman" w:cs="Simplified Arabic"/>
                <w:b/>
                <w:bCs/>
                <w:sz w:val="16"/>
                <w:szCs w:val="16"/>
              </w:rPr>
              <w:t>000</w:t>
            </w:r>
            <w:r w:rsidRPr="00E71751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17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1221</w:t>
            </w:r>
          </w:p>
        </w:tc>
        <w:tc>
          <w:tcPr>
            <w:tcW w:w="818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944</w:t>
            </w:r>
          </w:p>
        </w:tc>
        <w:tc>
          <w:tcPr>
            <w:tcW w:w="693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1038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1395</w:t>
            </w:r>
          </w:p>
        </w:tc>
        <w:tc>
          <w:tcPr>
            <w:tcW w:w="689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107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ind w:left="113" w:right="113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18"/>
                <w:szCs w:val="18"/>
              </w:rPr>
              <w:t>Data according to General Census of population and housing (every 10 years)</w:t>
            </w:r>
          </w:p>
        </w:tc>
      </w:tr>
      <w:tr w:rsidR="00960E83" w:rsidRPr="00941044" w:rsidTr="00F472CF">
        <w:trPr>
          <w:trHeight w:val="268"/>
        </w:trPr>
        <w:tc>
          <w:tcPr>
            <w:tcW w:w="861" w:type="dxa"/>
            <w:vMerge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679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960E83" w:rsidRPr="001A09E9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>
              <w:rPr>
                <w:rFonts w:eastAsia="Times New Roman" w:cs="Simplified Arabic"/>
                <w:b/>
                <w:bCs/>
                <w:sz w:val="17"/>
                <w:szCs w:val="17"/>
              </w:rPr>
              <w:t>T</w:t>
            </w:r>
            <w:r w:rsidRPr="001E7619">
              <w:rPr>
                <w:rFonts w:eastAsia="Times New Roman" w:cs="Simplified Arabic"/>
                <w:b/>
                <w:bCs/>
                <w:sz w:val="17"/>
                <w:szCs w:val="17"/>
              </w:rPr>
              <w:t xml:space="preserve">ype of 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housing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817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shd w:val="clear" w:color="auto" w:fill="BFBFB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BFBFB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</w:tr>
      <w:tr w:rsidR="00960E83" w:rsidRPr="00941044" w:rsidTr="00F472CF">
        <w:trPr>
          <w:trHeight w:val="337"/>
        </w:trPr>
        <w:tc>
          <w:tcPr>
            <w:tcW w:w="861" w:type="dxa"/>
            <w:vMerge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679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960E83" w:rsidRPr="00FC7E98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</w:rPr>
              <w:t>The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</w:rPr>
              <w:t>ratio of housing type (House-apartment-villa) to the total number of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</w:rPr>
              <w:t>dwellings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17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97.7</w:t>
            </w:r>
          </w:p>
        </w:tc>
        <w:tc>
          <w:tcPr>
            <w:tcW w:w="818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-</w:t>
            </w:r>
          </w:p>
        </w:tc>
        <w:tc>
          <w:tcPr>
            <w:tcW w:w="693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  -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-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</w:tr>
      <w:tr w:rsidR="00960E83" w:rsidRPr="00941044" w:rsidTr="00F472CF">
        <w:trPr>
          <w:trHeight w:val="268"/>
        </w:trPr>
        <w:tc>
          <w:tcPr>
            <w:tcW w:w="861" w:type="dxa"/>
            <w:vMerge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679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960E83" w:rsidRPr="00FC7E98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</w:rPr>
              <w:t>The ratio of apartments housing</w:t>
            </w:r>
            <w:r w:rsidRPr="00FC7E98">
              <w:rPr>
                <w:rFonts w:eastAsia="Times New Roman" w:cs="Calibri"/>
                <w:b/>
                <w:bCs/>
                <w:sz w:val="16"/>
                <w:szCs w:val="16"/>
                <w:lang w:bidi="ar-JO"/>
              </w:rPr>
              <w:t xml:space="preserve"> 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to the total number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of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</w:rPr>
              <w:t>dwellings</w:t>
            </w:r>
          </w:p>
        </w:tc>
        <w:tc>
          <w:tcPr>
            <w:tcW w:w="817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72.4</w:t>
            </w:r>
          </w:p>
        </w:tc>
        <w:tc>
          <w:tcPr>
            <w:tcW w:w="818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62.3</w:t>
            </w:r>
          </w:p>
        </w:tc>
        <w:tc>
          <w:tcPr>
            <w:tcW w:w="693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 xml:space="preserve">  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66.6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69</w:t>
            </w:r>
          </w:p>
        </w:tc>
        <w:tc>
          <w:tcPr>
            <w:tcW w:w="689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</w:tr>
      <w:tr w:rsidR="00960E83" w:rsidRPr="00941044" w:rsidTr="00F472CF">
        <w:trPr>
          <w:trHeight w:val="268"/>
        </w:trPr>
        <w:tc>
          <w:tcPr>
            <w:tcW w:w="861" w:type="dxa"/>
            <w:vMerge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679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960E83" w:rsidRPr="001A09E9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FC7E98">
              <w:rPr>
                <w:rFonts w:eastAsia="Times New Roman" w:cs="Simplified Arabic"/>
                <w:b/>
                <w:bCs/>
                <w:sz w:val="17"/>
                <w:szCs w:val="17"/>
              </w:rPr>
              <w:t>Type of occupancy</w:t>
            </w:r>
            <w:r w:rsidRPr="00FC7E98">
              <w:rPr>
                <w:rFonts w:eastAsia="Times New Roman" w:cs="Calibri"/>
                <w:b/>
                <w:bCs/>
                <w:sz w:val="17"/>
                <w:szCs w:val="17"/>
                <w:lang w:bidi="ar-JO"/>
              </w:rPr>
              <w:t xml:space="preserve"> </w:t>
            </w:r>
          </w:p>
        </w:tc>
        <w:tc>
          <w:tcPr>
            <w:tcW w:w="817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shd w:val="clear" w:color="auto" w:fill="BFBFB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BFBFB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</w:tr>
      <w:tr w:rsidR="00960E83" w:rsidRPr="00941044" w:rsidTr="00F472CF">
        <w:trPr>
          <w:trHeight w:val="268"/>
        </w:trPr>
        <w:tc>
          <w:tcPr>
            <w:tcW w:w="861" w:type="dxa"/>
            <w:vMerge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679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960E83" w:rsidRPr="001A09E9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Number of occupied dwellings</w:t>
            </w:r>
            <w:r w:rsidRPr="00FC7E98">
              <w:rPr>
                <w:rFonts w:eastAsia="Times New Roman" w:cs="Calibri"/>
                <w:b/>
                <w:bCs/>
              </w:rPr>
              <w:t xml:space="preserve"> </w:t>
            </w:r>
            <w:r w:rsidRPr="001A09E9">
              <w:rPr>
                <w:rStyle w:val="FootnoteReference"/>
                <w:rFonts w:eastAsia="Times New Roman" w:cs="Calibri"/>
              </w:rPr>
              <w:footnoteReference w:id="11"/>
            </w:r>
          </w:p>
        </w:tc>
        <w:tc>
          <w:tcPr>
            <w:tcW w:w="817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940147</w:t>
            </w:r>
          </w:p>
        </w:tc>
        <w:tc>
          <w:tcPr>
            <w:tcW w:w="818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FFFF"/>
            <w:hideMark/>
          </w:tcPr>
          <w:p w:rsidR="00960E83" w:rsidRPr="00941044" w:rsidRDefault="003259FC" w:rsidP="003259FC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 xml:space="preserve">  </w:t>
            </w:r>
            <w:r w:rsidR="00960E83" w:rsidRPr="00941044">
              <w:rPr>
                <w:rFonts w:eastAsia="Times New Roman" w:cs="Simplified Arabic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960E83" w:rsidRPr="00941044" w:rsidRDefault="003259FC" w:rsidP="003259FC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 xml:space="preserve">  </w:t>
            </w:r>
            <w:r w:rsidR="00960E83" w:rsidRPr="00941044">
              <w:rPr>
                <w:rFonts w:eastAsia="Times New Roman" w:cs="Simplified Arabic"/>
                <w:sz w:val="16"/>
                <w:szCs w:val="16"/>
              </w:rPr>
              <w:t>-</w:t>
            </w: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</w:tr>
      <w:tr w:rsidR="00960E83" w:rsidRPr="00941044" w:rsidTr="00F472CF">
        <w:trPr>
          <w:trHeight w:val="268"/>
        </w:trPr>
        <w:tc>
          <w:tcPr>
            <w:tcW w:w="861" w:type="dxa"/>
            <w:vMerge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679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960E83" w:rsidRPr="001A09E9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R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</w:rPr>
              <w:t>atio of occupied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housing units 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</w:rPr>
              <w:t>to the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</w:rPr>
              <w:t>total number of housing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817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77</w:t>
            </w:r>
          </w:p>
        </w:tc>
        <w:tc>
          <w:tcPr>
            <w:tcW w:w="818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-</w:t>
            </w:r>
          </w:p>
        </w:tc>
        <w:tc>
          <w:tcPr>
            <w:tcW w:w="693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-</w:t>
            </w:r>
          </w:p>
        </w:tc>
        <w:tc>
          <w:tcPr>
            <w:tcW w:w="689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</w:tr>
      <w:tr w:rsidR="00960E83" w:rsidRPr="00941044" w:rsidTr="00F472CF">
        <w:trPr>
          <w:trHeight w:val="312"/>
        </w:trPr>
        <w:tc>
          <w:tcPr>
            <w:tcW w:w="861" w:type="dxa"/>
            <w:vMerge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679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960E83" w:rsidRPr="001A09E9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R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atio of 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marginal housing units 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</w:rPr>
              <w:t>to the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</w:rPr>
              <w:t>total number of housing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817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0.27</w:t>
            </w:r>
          </w:p>
        </w:tc>
        <w:tc>
          <w:tcPr>
            <w:tcW w:w="818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-</w:t>
            </w:r>
          </w:p>
        </w:tc>
        <w:tc>
          <w:tcPr>
            <w:tcW w:w="693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-</w:t>
            </w:r>
          </w:p>
        </w:tc>
        <w:tc>
          <w:tcPr>
            <w:tcW w:w="689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</w:tr>
      <w:tr w:rsidR="00960E83" w:rsidRPr="00941044" w:rsidTr="00F472CF">
        <w:trPr>
          <w:trHeight w:val="312"/>
        </w:trPr>
        <w:tc>
          <w:tcPr>
            <w:tcW w:w="861" w:type="dxa"/>
            <w:vMerge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679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960E83" w:rsidRPr="001A09E9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R</w:t>
            </w:r>
            <w:r w:rsidRPr="00FC7E98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atio of </w:t>
            </w:r>
            <w:r w:rsidRPr="006E3E54">
              <w:rPr>
                <w:rFonts w:eastAsia="Times New Roman" w:cs="Simplified Arabic"/>
                <w:b/>
                <w:bCs/>
                <w:sz w:val="16"/>
                <w:szCs w:val="16"/>
              </w:rPr>
              <w:t>Vacant dwellings to the total number of dwellings</w:t>
            </w:r>
            <w:r w:rsidRPr="006E3E54">
              <w:rPr>
                <w:rFonts w:eastAsia="Times New Roman" w:cs="Calibri"/>
                <w:b/>
                <w:bCs/>
                <w:sz w:val="16"/>
                <w:szCs w:val="16"/>
                <w:lang w:bidi="ar-JO"/>
              </w:rPr>
              <w:t xml:space="preserve"> </w:t>
            </w:r>
          </w:p>
        </w:tc>
        <w:tc>
          <w:tcPr>
            <w:tcW w:w="817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18</w:t>
            </w:r>
          </w:p>
        </w:tc>
        <w:tc>
          <w:tcPr>
            <w:tcW w:w="818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-</w:t>
            </w:r>
          </w:p>
        </w:tc>
        <w:tc>
          <w:tcPr>
            <w:tcW w:w="693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-</w:t>
            </w:r>
          </w:p>
        </w:tc>
        <w:tc>
          <w:tcPr>
            <w:tcW w:w="689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</w:tr>
      <w:tr w:rsidR="00960E83" w:rsidRPr="00941044" w:rsidTr="00F472CF">
        <w:trPr>
          <w:trHeight w:val="268"/>
        </w:trPr>
        <w:tc>
          <w:tcPr>
            <w:tcW w:w="861" w:type="dxa"/>
            <w:vMerge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679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960E83" w:rsidRPr="001A09E9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>
              <w:rPr>
                <w:rFonts w:eastAsia="Times New Roman" w:cs="Simplified Arabic"/>
                <w:b/>
                <w:bCs/>
                <w:sz w:val="17"/>
                <w:szCs w:val="17"/>
                <w:lang w:bidi="ar-JO"/>
              </w:rPr>
              <w:t>Tenure</w:t>
            </w:r>
          </w:p>
        </w:tc>
        <w:tc>
          <w:tcPr>
            <w:tcW w:w="817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shd w:val="clear" w:color="auto" w:fill="BFBFB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BFBFB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</w:tr>
      <w:tr w:rsidR="00960E83" w:rsidRPr="00941044" w:rsidTr="00F472CF">
        <w:trPr>
          <w:trHeight w:val="268"/>
        </w:trPr>
        <w:tc>
          <w:tcPr>
            <w:tcW w:w="861" w:type="dxa"/>
            <w:vMerge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679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960E83" w:rsidRPr="001A09E9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226CAD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The number of occupied dwellings owned </w:t>
            </w:r>
          </w:p>
        </w:tc>
        <w:tc>
          <w:tcPr>
            <w:tcW w:w="817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689431</w:t>
            </w:r>
          </w:p>
        </w:tc>
        <w:tc>
          <w:tcPr>
            <w:tcW w:w="818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</w:tr>
      <w:tr w:rsidR="00960E83" w:rsidRPr="00941044" w:rsidTr="00F472CF">
        <w:trPr>
          <w:trHeight w:val="268"/>
        </w:trPr>
        <w:tc>
          <w:tcPr>
            <w:tcW w:w="861" w:type="dxa"/>
            <w:vMerge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679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960E83" w:rsidRPr="001A09E9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F41924">
              <w:rPr>
                <w:rFonts w:eastAsia="Times New Roman" w:cs="Simplified Arabic"/>
                <w:b/>
                <w:bCs/>
                <w:sz w:val="16"/>
                <w:szCs w:val="16"/>
              </w:rPr>
              <w:t>The ratio of housing owned by total occupied dwellings</w:t>
            </w:r>
            <w:r w:rsidRPr="00F41924">
              <w:rPr>
                <w:rFonts w:eastAsia="Times New Roman" w:cs="Calibri"/>
                <w:b/>
                <w:bCs/>
                <w:sz w:val="16"/>
                <w:szCs w:val="16"/>
                <w:lang w:bidi="ar-JO"/>
              </w:rPr>
              <w:t xml:space="preserve"> </w:t>
            </w:r>
          </w:p>
        </w:tc>
        <w:tc>
          <w:tcPr>
            <w:tcW w:w="817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 xml:space="preserve">73.3 </w:t>
            </w:r>
          </w:p>
        </w:tc>
        <w:tc>
          <w:tcPr>
            <w:tcW w:w="818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 xml:space="preserve">68.3 </w:t>
            </w:r>
          </w:p>
        </w:tc>
        <w:tc>
          <w:tcPr>
            <w:tcW w:w="693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 xml:space="preserve">67.3 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73.1</w:t>
            </w:r>
          </w:p>
        </w:tc>
        <w:tc>
          <w:tcPr>
            <w:tcW w:w="689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</w:tr>
      <w:tr w:rsidR="00960E83" w:rsidRPr="00941044" w:rsidTr="00F472CF">
        <w:trPr>
          <w:trHeight w:val="293"/>
        </w:trPr>
        <w:tc>
          <w:tcPr>
            <w:tcW w:w="861" w:type="dxa"/>
            <w:vMerge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679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960E83" w:rsidRPr="001A09E9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F41924">
              <w:rPr>
                <w:rFonts w:eastAsia="Times New Roman" w:cs="Simplified Arabic"/>
                <w:b/>
                <w:bCs/>
                <w:sz w:val="16"/>
                <w:szCs w:val="16"/>
              </w:rPr>
              <w:t>The number of occupied dwellings rented</w:t>
            </w:r>
          </w:p>
        </w:tc>
        <w:tc>
          <w:tcPr>
            <w:tcW w:w="817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222881</w:t>
            </w:r>
          </w:p>
        </w:tc>
        <w:tc>
          <w:tcPr>
            <w:tcW w:w="818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251751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</w:tr>
      <w:tr w:rsidR="00960E83" w:rsidRPr="00941044" w:rsidTr="00F472CF">
        <w:trPr>
          <w:trHeight w:val="293"/>
        </w:trPr>
        <w:tc>
          <w:tcPr>
            <w:tcW w:w="861" w:type="dxa"/>
            <w:vMerge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679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960E83" w:rsidRPr="001A09E9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The</w:t>
            </w:r>
            <w:r w:rsidRPr="00F41924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ratio</w:t>
            </w:r>
            <w:r w:rsidRPr="00F41924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 xml:space="preserve"> of rented dwellings to the total occupied dwellings</w:t>
            </w:r>
            <w:r w:rsidRPr="00373531">
              <w:rPr>
                <w:rStyle w:val="FootnoteReference"/>
                <w:rFonts w:eastAsia="Times New Roman" w:cs="Simplified Arabic"/>
                <w:b/>
                <w:bCs/>
                <w:sz w:val="17"/>
                <w:szCs w:val="17"/>
                <w:lang w:bidi="ar-JO"/>
              </w:rPr>
              <w:footnoteReference w:id="12"/>
            </w:r>
            <w:r w:rsidRPr="00373531">
              <w:rPr>
                <w:rFonts w:eastAsia="Times New Roman" w:cs="Simplified Arabic"/>
                <w:b/>
                <w:bCs/>
                <w:sz w:val="17"/>
                <w:szCs w:val="17"/>
                <w:lang w:bidi="ar-JO"/>
              </w:rPr>
              <w:t>.</w:t>
            </w:r>
            <w:r w:rsidRPr="00373531">
              <w:rPr>
                <w:rFonts w:eastAsia="Times New Roman" w:cs="Calibri"/>
                <w:b/>
                <w:bCs/>
                <w:sz w:val="17"/>
                <w:szCs w:val="17"/>
                <w:lang w:bidi="ar-JO"/>
              </w:rPr>
              <w:t xml:space="preserve"> </w:t>
            </w:r>
          </w:p>
        </w:tc>
        <w:tc>
          <w:tcPr>
            <w:tcW w:w="817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23.7</w:t>
            </w:r>
          </w:p>
        </w:tc>
        <w:tc>
          <w:tcPr>
            <w:tcW w:w="818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23.7</w:t>
            </w:r>
          </w:p>
        </w:tc>
        <w:tc>
          <w:tcPr>
            <w:tcW w:w="693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24.2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23.2</w:t>
            </w:r>
          </w:p>
        </w:tc>
        <w:tc>
          <w:tcPr>
            <w:tcW w:w="689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</w:tr>
      <w:tr w:rsidR="00960E83" w:rsidRPr="00941044" w:rsidTr="00F472CF">
        <w:trPr>
          <w:trHeight w:val="293"/>
        </w:trPr>
        <w:tc>
          <w:tcPr>
            <w:tcW w:w="861" w:type="dxa"/>
            <w:vMerge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679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960E83" w:rsidRPr="001A09E9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373531">
              <w:rPr>
                <w:rFonts w:eastAsia="Times New Roman" w:cs="Simplified Arabic"/>
                <w:b/>
                <w:bCs/>
                <w:sz w:val="16"/>
                <w:szCs w:val="16"/>
              </w:rPr>
              <w:t>The ratio</w:t>
            </w:r>
            <w:r w:rsidRPr="00373531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 xml:space="preserve"> </w:t>
            </w:r>
            <w:r w:rsidRPr="00373531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of occupied dwellings 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for free</w:t>
            </w:r>
          </w:p>
        </w:tc>
        <w:tc>
          <w:tcPr>
            <w:tcW w:w="817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0.5</w:t>
            </w:r>
          </w:p>
        </w:tc>
        <w:tc>
          <w:tcPr>
            <w:tcW w:w="818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7.4</w:t>
            </w:r>
          </w:p>
        </w:tc>
        <w:tc>
          <w:tcPr>
            <w:tcW w:w="693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7.2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2.9</w:t>
            </w:r>
          </w:p>
        </w:tc>
        <w:tc>
          <w:tcPr>
            <w:tcW w:w="689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</w:tr>
      <w:tr w:rsidR="00960E83" w:rsidRPr="00941044" w:rsidTr="00F472CF">
        <w:trPr>
          <w:trHeight w:val="293"/>
        </w:trPr>
        <w:tc>
          <w:tcPr>
            <w:tcW w:w="861" w:type="dxa"/>
            <w:vMerge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679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960E83" w:rsidRPr="001A09E9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373531">
              <w:rPr>
                <w:rFonts w:eastAsia="Times New Roman" w:cs="Simplified Arabic"/>
                <w:b/>
                <w:bCs/>
                <w:sz w:val="16"/>
                <w:szCs w:val="16"/>
              </w:rPr>
              <w:t>The ratio</w:t>
            </w:r>
            <w:r w:rsidRPr="00373531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 xml:space="preserve"> </w:t>
            </w:r>
            <w:r w:rsidRPr="00373531">
              <w:rPr>
                <w:rFonts w:eastAsia="Times New Roman" w:cs="Simplified Arabic"/>
                <w:b/>
                <w:bCs/>
                <w:sz w:val="16"/>
                <w:szCs w:val="16"/>
              </w:rPr>
              <w:t>of occupied dwellings for work</w:t>
            </w:r>
          </w:p>
        </w:tc>
        <w:tc>
          <w:tcPr>
            <w:tcW w:w="817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2.4</w:t>
            </w:r>
          </w:p>
        </w:tc>
        <w:tc>
          <w:tcPr>
            <w:tcW w:w="818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0.7</w:t>
            </w:r>
          </w:p>
        </w:tc>
        <w:tc>
          <w:tcPr>
            <w:tcW w:w="693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1.2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0.8</w:t>
            </w:r>
          </w:p>
        </w:tc>
        <w:tc>
          <w:tcPr>
            <w:tcW w:w="689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</w:tr>
      <w:tr w:rsidR="00960E83" w:rsidRPr="00941044" w:rsidTr="00F472CF">
        <w:trPr>
          <w:trHeight w:val="220"/>
        </w:trPr>
        <w:tc>
          <w:tcPr>
            <w:tcW w:w="861" w:type="dxa"/>
            <w:vMerge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679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960E83" w:rsidRPr="001A09E9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53028B">
              <w:rPr>
                <w:rFonts w:eastAsia="Times New Roman" w:cs="Simplified Arabic"/>
                <w:b/>
                <w:bCs/>
                <w:sz w:val="17"/>
                <w:szCs w:val="17"/>
              </w:rPr>
              <w:t>Housing area</w:t>
            </w:r>
            <w:r w:rsidRPr="0053028B">
              <w:rPr>
                <w:rFonts w:eastAsia="Times New Roman" w:cs="Simplified Arabic"/>
                <w:b/>
                <w:bCs/>
                <w:sz w:val="17"/>
                <w:szCs w:val="17"/>
                <w:rtl/>
              </w:rPr>
              <w:t xml:space="preserve"> </w:t>
            </w:r>
          </w:p>
        </w:tc>
        <w:tc>
          <w:tcPr>
            <w:tcW w:w="817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818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93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675" w:type="dxa"/>
            <w:shd w:val="clear" w:color="auto" w:fill="BFBFB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89" w:type="dxa"/>
            <w:shd w:val="clear" w:color="auto" w:fill="BFBFB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BFBFB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</w:tr>
      <w:tr w:rsidR="00960E83" w:rsidRPr="00941044" w:rsidTr="00F472CF">
        <w:trPr>
          <w:trHeight w:val="313"/>
        </w:trPr>
        <w:tc>
          <w:tcPr>
            <w:tcW w:w="861" w:type="dxa"/>
            <w:vMerge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679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960E83" w:rsidRPr="001A09E9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Median housing area</w:t>
            </w:r>
            <w:r w:rsidRPr="0053028B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(m2)</w:t>
            </w:r>
            <w:r w:rsidRPr="0053028B">
              <w:rPr>
                <w:rStyle w:val="FootnoteReference"/>
                <w:rFonts w:eastAsia="Times New Roman" w:cs="Calibri"/>
              </w:rPr>
              <w:footnoteReference w:id="13"/>
            </w:r>
            <w:r w:rsidRPr="0053028B">
              <w:rPr>
                <w:rFonts w:eastAsia="Times New Roman" w:cs="Calibri"/>
              </w:rPr>
              <w:t xml:space="preserve"> </w:t>
            </w:r>
          </w:p>
        </w:tc>
        <w:tc>
          <w:tcPr>
            <w:tcW w:w="817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114</w:t>
            </w:r>
            <w:r>
              <w:rPr>
                <w:rStyle w:val="FootnoteReference"/>
                <w:rFonts w:eastAsia="Times New Roman" w:cs="Calibri"/>
              </w:rPr>
              <w:footnoteReference w:id="14"/>
            </w:r>
          </w:p>
        </w:tc>
        <w:tc>
          <w:tcPr>
            <w:tcW w:w="818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110</w:t>
            </w:r>
          </w:p>
        </w:tc>
        <w:tc>
          <w:tcPr>
            <w:tcW w:w="693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110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120</w:t>
            </w:r>
          </w:p>
        </w:tc>
        <w:tc>
          <w:tcPr>
            <w:tcW w:w="689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</w:tr>
      <w:tr w:rsidR="00960E83" w:rsidRPr="00941044" w:rsidTr="00F472CF">
        <w:trPr>
          <w:trHeight w:val="287"/>
        </w:trPr>
        <w:tc>
          <w:tcPr>
            <w:tcW w:w="861" w:type="dxa"/>
            <w:vMerge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679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960E83" w:rsidRPr="001A09E9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53028B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The average number of persons per room. Person/room</w:t>
            </w:r>
            <w:r w:rsidRPr="0053028B">
              <w:rPr>
                <w:rFonts w:eastAsia="Times New Roman" w:cs="Calibri"/>
                <w:b/>
                <w:bCs/>
                <w:sz w:val="16"/>
                <w:szCs w:val="16"/>
                <w:lang w:bidi="ar-JO"/>
              </w:rPr>
              <w:t xml:space="preserve"> </w:t>
            </w:r>
          </w:p>
        </w:tc>
        <w:tc>
          <w:tcPr>
            <w:tcW w:w="817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 xml:space="preserve">1.7 </w:t>
            </w:r>
          </w:p>
        </w:tc>
        <w:tc>
          <w:tcPr>
            <w:tcW w:w="818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 xml:space="preserve">1.5 </w:t>
            </w:r>
          </w:p>
        </w:tc>
        <w:tc>
          <w:tcPr>
            <w:tcW w:w="693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1.4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1.3</w:t>
            </w:r>
          </w:p>
        </w:tc>
        <w:tc>
          <w:tcPr>
            <w:tcW w:w="689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</w:tr>
      <w:tr w:rsidR="00960E83" w:rsidRPr="00941044" w:rsidTr="00F472CF">
        <w:trPr>
          <w:trHeight w:val="287"/>
        </w:trPr>
        <w:tc>
          <w:tcPr>
            <w:tcW w:w="861" w:type="dxa"/>
            <w:vMerge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679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960E83" w:rsidRPr="001A09E9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A</w:t>
            </w:r>
            <w:r w:rsidRPr="008C5E4F">
              <w:rPr>
                <w:rFonts w:eastAsia="Times New Roman" w:cs="Simplified Arabic"/>
                <w:b/>
                <w:bCs/>
                <w:sz w:val="16"/>
                <w:szCs w:val="16"/>
              </w:rPr>
              <w:t>verage</w:t>
            </w:r>
            <w:r w:rsidRPr="008C5E4F">
              <w:rPr>
                <w:rFonts w:eastAsia="Times New Roman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no.</w:t>
            </w:r>
            <w:r w:rsidRPr="008C5E4F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of rooms per 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HU.</w:t>
            </w:r>
            <w:r w:rsidRPr="008C5E4F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(room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)</w:t>
            </w:r>
            <w:r w:rsidRPr="008C5E4F">
              <w:rPr>
                <w:rFonts w:eastAsia="Times New Roman" w:cs="Calibri"/>
                <w:b/>
                <w:bCs/>
                <w:sz w:val="16"/>
                <w:szCs w:val="16"/>
                <w:lang w:bidi="ar-JO"/>
              </w:rPr>
              <w:t xml:space="preserve"> </w:t>
            </w:r>
          </w:p>
        </w:tc>
        <w:tc>
          <w:tcPr>
            <w:tcW w:w="817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 xml:space="preserve">3.2 </w:t>
            </w:r>
          </w:p>
        </w:tc>
        <w:tc>
          <w:tcPr>
            <w:tcW w:w="818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 xml:space="preserve">3.8 </w:t>
            </w:r>
          </w:p>
        </w:tc>
        <w:tc>
          <w:tcPr>
            <w:tcW w:w="693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3.8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4</w:t>
            </w:r>
          </w:p>
        </w:tc>
        <w:tc>
          <w:tcPr>
            <w:tcW w:w="689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960E83" w:rsidRPr="00941044" w:rsidRDefault="00960E83" w:rsidP="00960E83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  <w:hideMark/>
          </w:tcPr>
          <w:p w:rsidR="00960E83" w:rsidRPr="00941044" w:rsidRDefault="00960E83" w:rsidP="00960E83">
            <w:pPr>
              <w:bidi w:val="0"/>
              <w:rPr>
                <w:rFonts w:eastAsia="Times New Roman" w:cs="Calibri"/>
              </w:rPr>
            </w:pPr>
          </w:p>
        </w:tc>
      </w:tr>
    </w:tbl>
    <w:p w:rsidR="001D217D" w:rsidRPr="001D217D" w:rsidRDefault="001D217D" w:rsidP="001D217D">
      <w:pPr>
        <w:bidi w:val="0"/>
        <w:spacing w:after="0" w:line="240" w:lineRule="auto"/>
        <w:ind w:right="232"/>
        <w:rPr>
          <w:rFonts w:ascii="Calibri" w:eastAsia="Times New Roman" w:hAnsi="Calibri" w:cs="Calibri"/>
          <w:sz w:val="12"/>
          <w:szCs w:val="12"/>
        </w:rPr>
      </w:pPr>
      <w:r w:rsidRPr="001D217D">
        <w:rPr>
          <w:rFonts w:ascii="Simplified Arabic" w:eastAsia="Times New Roman" w:hAnsi="Simplified Arabic" w:cs="Simplified Arabic"/>
          <w:b/>
          <w:bCs/>
          <w:sz w:val="14"/>
          <w:szCs w:val="14"/>
        </w:rPr>
        <w:t xml:space="preserve">Source: </w:t>
      </w:r>
    </w:p>
    <w:p w:rsidR="001D217D" w:rsidRPr="001D217D" w:rsidRDefault="001D217D" w:rsidP="00055A0D">
      <w:pPr>
        <w:bidi w:val="0"/>
        <w:spacing w:after="0" w:line="240" w:lineRule="auto"/>
        <w:ind w:right="561"/>
        <w:rPr>
          <w:rFonts w:ascii="Calibri" w:eastAsia="Times New Roman" w:hAnsi="Calibri" w:cs="Calibri"/>
          <w:sz w:val="12"/>
          <w:szCs w:val="12"/>
        </w:rPr>
      </w:pPr>
      <w:r w:rsidRPr="001D217D">
        <w:rPr>
          <w:rFonts w:ascii="Symbol" w:eastAsia="Times New Roman" w:hAnsi="Symbol" w:cs="Calibri"/>
          <w:sz w:val="12"/>
          <w:szCs w:val="12"/>
        </w:rPr>
        <w:t></w:t>
      </w:r>
      <w:r w:rsidR="00FE4D1C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A442D7">
        <w:rPr>
          <w:rFonts w:eastAsia="Times New Roman" w:cs="Simplified Arabic"/>
          <w:sz w:val="12"/>
          <w:szCs w:val="12"/>
        </w:rPr>
        <w:t>Housing Census 2004/Department of statistics</w:t>
      </w:r>
      <w:r w:rsidRPr="001D217D">
        <w:rPr>
          <w:rFonts w:ascii="Simplified Arabic" w:eastAsia="Times New Roman" w:hAnsi="Simplified Arabic" w:cs="Simplified Arabic"/>
          <w:sz w:val="12"/>
          <w:szCs w:val="12"/>
        </w:rPr>
        <w:t>.</w:t>
      </w:r>
    </w:p>
    <w:p w:rsidR="001D217D" w:rsidRPr="001D217D" w:rsidRDefault="001D217D" w:rsidP="001D217D">
      <w:pPr>
        <w:bidi w:val="0"/>
        <w:spacing w:after="0" w:line="240" w:lineRule="auto"/>
        <w:ind w:right="561"/>
        <w:rPr>
          <w:rFonts w:ascii="Calibri" w:eastAsia="Times New Roman" w:hAnsi="Calibri" w:cs="Calibri"/>
          <w:sz w:val="12"/>
          <w:szCs w:val="12"/>
        </w:rPr>
      </w:pPr>
      <w:r w:rsidRPr="001D217D">
        <w:rPr>
          <w:rFonts w:ascii="Symbol" w:eastAsia="Times New Roman" w:hAnsi="Symbol" w:cs="Calibri"/>
          <w:sz w:val="12"/>
          <w:szCs w:val="12"/>
        </w:rPr>
        <w:t></w:t>
      </w:r>
      <w:r w:rsidRPr="001D217D">
        <w:rPr>
          <w:rFonts w:ascii="Times New Roman" w:eastAsia="Times New Roman" w:hAnsi="Times New Roman" w:cs="Times New Roman"/>
          <w:sz w:val="12"/>
          <w:szCs w:val="12"/>
        </w:rPr>
        <w:t> </w:t>
      </w:r>
      <w:r w:rsidR="004C67FF" w:rsidRPr="004C67FF">
        <w:rPr>
          <w:rFonts w:eastAsia="Times New Roman" w:cstheme="minorHAnsi"/>
          <w:sz w:val="12"/>
          <w:szCs w:val="12"/>
        </w:rPr>
        <w:t>Reports of</w:t>
      </w:r>
      <w:r w:rsidRPr="001D217D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A442D7">
        <w:rPr>
          <w:rFonts w:eastAsia="Times New Roman" w:cs="Simplified Arabic"/>
          <w:sz w:val="12"/>
          <w:szCs w:val="12"/>
          <w:lang w:bidi="ar-JO"/>
        </w:rPr>
        <w:t xml:space="preserve">Jordan (2004), (2006), (2007), </w:t>
      </w:r>
      <w:r w:rsidR="00491C2F">
        <w:rPr>
          <w:rFonts w:eastAsia="Times New Roman" w:cs="Simplified Arabic"/>
          <w:sz w:val="12"/>
          <w:szCs w:val="12"/>
          <w:lang w:bidi="ar-JO"/>
        </w:rPr>
        <w:t>(</w:t>
      </w:r>
      <w:r w:rsidRPr="00A442D7">
        <w:rPr>
          <w:rFonts w:eastAsia="Times New Roman" w:cs="Simplified Arabic"/>
          <w:sz w:val="12"/>
          <w:szCs w:val="12"/>
          <w:lang w:bidi="ar-JO"/>
        </w:rPr>
        <w:t>2008), (2009), (2010). The Department of statistics.</w:t>
      </w:r>
    </w:p>
    <w:p w:rsidR="001D217D" w:rsidRPr="001D217D" w:rsidRDefault="001D217D" w:rsidP="001D217D">
      <w:pPr>
        <w:bidi w:val="0"/>
        <w:spacing w:after="0" w:line="240" w:lineRule="auto"/>
        <w:ind w:right="561"/>
        <w:rPr>
          <w:rFonts w:ascii="Calibri" w:eastAsia="Times New Roman" w:hAnsi="Calibri" w:cs="Calibri"/>
          <w:sz w:val="12"/>
          <w:szCs w:val="12"/>
        </w:rPr>
      </w:pPr>
      <w:r w:rsidRPr="001D217D">
        <w:rPr>
          <w:rFonts w:ascii="Symbol" w:eastAsia="Times New Roman" w:hAnsi="Symbol" w:cs="Calibri"/>
          <w:sz w:val="12"/>
          <w:szCs w:val="12"/>
        </w:rPr>
        <w:t></w:t>
      </w:r>
      <w:r w:rsidR="00D55FB5">
        <w:rPr>
          <w:rFonts w:ascii="Times New Roman" w:eastAsia="Times New Roman" w:hAnsi="Times New Roman" w:cs="Times New Roman"/>
          <w:sz w:val="12"/>
          <w:szCs w:val="12"/>
        </w:rPr>
        <w:t> </w:t>
      </w:r>
      <w:r w:rsidRPr="001D217D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A442D7">
        <w:rPr>
          <w:rFonts w:eastAsia="Times New Roman" w:cs="Simplified Arabic"/>
          <w:sz w:val="12"/>
          <w:szCs w:val="12"/>
        </w:rPr>
        <w:t>Household expenditure</w:t>
      </w:r>
      <w:r w:rsidR="00EB2952">
        <w:rPr>
          <w:rFonts w:eastAsia="Times New Roman" w:cs="Simplified Arabic"/>
          <w:sz w:val="12"/>
          <w:szCs w:val="12"/>
        </w:rPr>
        <w:t>s</w:t>
      </w:r>
      <w:r w:rsidRPr="00A442D7">
        <w:rPr>
          <w:rFonts w:eastAsia="Times New Roman" w:cs="Simplified Arabic"/>
          <w:sz w:val="12"/>
          <w:szCs w:val="12"/>
        </w:rPr>
        <w:t xml:space="preserve"> and income survey (2006), (2008)</w:t>
      </w:r>
      <w:r w:rsidR="004C67FF">
        <w:rPr>
          <w:rFonts w:eastAsia="Times New Roman" w:cs="Simplified Arabic"/>
          <w:sz w:val="12"/>
          <w:szCs w:val="12"/>
        </w:rPr>
        <w:t>, (2010)</w:t>
      </w:r>
      <w:r w:rsidRPr="00A442D7">
        <w:rPr>
          <w:rFonts w:eastAsia="Times New Roman" w:cs="Simplified Arabic"/>
          <w:sz w:val="12"/>
          <w:szCs w:val="12"/>
        </w:rPr>
        <w:t>.</w:t>
      </w:r>
    </w:p>
    <w:p w:rsidR="001D217D" w:rsidRPr="001D217D" w:rsidRDefault="001D217D" w:rsidP="006A503A">
      <w:pPr>
        <w:bidi w:val="0"/>
        <w:spacing w:after="0" w:line="240" w:lineRule="auto"/>
        <w:ind w:right="277"/>
        <w:rPr>
          <w:rFonts w:ascii="Calibri" w:eastAsia="Times New Roman" w:hAnsi="Calibri" w:cs="Calibri"/>
          <w:sz w:val="12"/>
          <w:szCs w:val="12"/>
        </w:rPr>
      </w:pPr>
      <w:r w:rsidRPr="001D217D">
        <w:rPr>
          <w:rFonts w:ascii="Symbol" w:eastAsia="Times New Roman" w:hAnsi="Symbol" w:cs="Calibri"/>
          <w:sz w:val="12"/>
          <w:szCs w:val="12"/>
        </w:rPr>
        <w:t></w:t>
      </w:r>
      <w:r w:rsidR="00D55FB5">
        <w:rPr>
          <w:rFonts w:ascii="Times New Roman" w:eastAsia="Times New Roman" w:hAnsi="Times New Roman" w:cs="Times New Roman"/>
          <w:sz w:val="12"/>
          <w:szCs w:val="12"/>
        </w:rPr>
        <w:t> </w:t>
      </w:r>
      <w:r w:rsidRPr="001D217D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A442D7">
        <w:rPr>
          <w:rFonts w:eastAsia="Times New Roman" w:cs="Simplified Arabic"/>
          <w:sz w:val="12"/>
          <w:szCs w:val="12"/>
        </w:rPr>
        <w:t>Previous estimates of indicators/</w:t>
      </w:r>
      <w:r w:rsidR="006A503A" w:rsidRPr="006A503A">
        <w:rPr>
          <w:sz w:val="12"/>
          <w:szCs w:val="12"/>
          <w:lang w:bidi="ar-JO"/>
        </w:rPr>
        <w:t xml:space="preserve"> </w:t>
      </w:r>
      <w:r w:rsidR="006A503A" w:rsidRPr="00D75326">
        <w:rPr>
          <w:sz w:val="12"/>
          <w:szCs w:val="12"/>
          <w:lang w:bidi="ar-JO"/>
        </w:rPr>
        <w:t>Housing and Urban Development Corporation</w:t>
      </w:r>
      <w:r w:rsidR="006A503A">
        <w:rPr>
          <w:rFonts w:ascii="Calibri" w:eastAsia="Times New Roman" w:hAnsi="Calibri" w:cs="Calibri"/>
          <w:sz w:val="12"/>
          <w:szCs w:val="12"/>
        </w:rPr>
        <w:t>.</w:t>
      </w:r>
    </w:p>
    <w:p w:rsidR="001D217D" w:rsidRPr="001D217D" w:rsidRDefault="001D217D" w:rsidP="006A503A">
      <w:pPr>
        <w:bidi w:val="0"/>
        <w:spacing w:after="0" w:line="240" w:lineRule="auto"/>
        <w:ind w:right="561"/>
        <w:rPr>
          <w:rFonts w:ascii="Calibri" w:eastAsia="Times New Roman" w:hAnsi="Calibri" w:cs="Calibri"/>
          <w:sz w:val="12"/>
          <w:szCs w:val="12"/>
        </w:rPr>
      </w:pPr>
      <w:r w:rsidRPr="001D217D">
        <w:rPr>
          <w:rFonts w:ascii="Symbol" w:eastAsia="Times New Roman" w:hAnsi="Symbol" w:cs="Calibri"/>
          <w:sz w:val="12"/>
          <w:szCs w:val="12"/>
        </w:rPr>
        <w:t></w:t>
      </w:r>
      <w:r w:rsidR="00FE4D1C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1D217D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1D217D">
        <w:rPr>
          <w:rFonts w:ascii="Simplified Arabic" w:eastAsia="Times New Roman" w:hAnsi="Simplified Arabic" w:cs="Simplified Arabic"/>
          <w:sz w:val="12"/>
          <w:szCs w:val="12"/>
          <w:lang w:bidi="ar-JO"/>
        </w:rPr>
        <w:t>(</w:t>
      </w:r>
      <w:r w:rsidR="006A503A" w:rsidRPr="00696A2D">
        <w:rPr>
          <w:rFonts w:eastAsia="Times New Roman" w:cs="Simplified Arabic"/>
          <w:sz w:val="12"/>
          <w:szCs w:val="12"/>
        </w:rPr>
        <w:t>N.A</w:t>
      </w:r>
      <w:r w:rsidRPr="00A442D7">
        <w:rPr>
          <w:rFonts w:eastAsia="Times New Roman" w:cs="Simplified Arabic"/>
          <w:sz w:val="12"/>
          <w:szCs w:val="12"/>
          <w:lang w:bidi="ar-JO"/>
        </w:rPr>
        <w:t xml:space="preserve">): means that </w:t>
      </w:r>
      <w:r w:rsidR="006A503A">
        <w:rPr>
          <w:rFonts w:eastAsia="Times New Roman" w:cs="Simplified Arabic"/>
          <w:sz w:val="12"/>
          <w:szCs w:val="12"/>
          <w:lang w:bidi="ar-JO"/>
        </w:rPr>
        <w:t>data</w:t>
      </w:r>
      <w:r w:rsidRPr="00A442D7">
        <w:rPr>
          <w:rFonts w:eastAsia="Times New Roman" w:cs="Simplified Arabic"/>
          <w:sz w:val="12"/>
          <w:szCs w:val="12"/>
          <w:lang w:bidi="ar-JO"/>
        </w:rPr>
        <w:t xml:space="preserve"> is not available.</w:t>
      </w:r>
    </w:p>
    <w:p w:rsidR="001D217D" w:rsidRPr="001D217D" w:rsidRDefault="001D217D" w:rsidP="001D217D">
      <w:pPr>
        <w:bidi w:val="0"/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:rsidR="00066440" w:rsidRDefault="00066440" w:rsidP="002F11FC">
      <w:pPr>
        <w:bidi w:val="0"/>
        <w:spacing w:after="0" w:line="240" w:lineRule="auto"/>
        <w:ind w:right="232" w:firstLine="45"/>
        <w:jc w:val="center"/>
        <w:rPr>
          <w:rFonts w:ascii="Calibri" w:eastAsia="Times New Roman" w:hAnsi="Calibri" w:cs="Calibri"/>
          <w:sz w:val="12"/>
          <w:szCs w:val="12"/>
        </w:rPr>
      </w:pPr>
    </w:p>
    <w:p w:rsidR="00066440" w:rsidRDefault="00066440" w:rsidP="00066440">
      <w:pPr>
        <w:bidi w:val="0"/>
        <w:spacing w:after="0" w:line="240" w:lineRule="auto"/>
        <w:ind w:right="232" w:firstLine="45"/>
        <w:jc w:val="center"/>
        <w:rPr>
          <w:rFonts w:ascii="Calibri" w:eastAsia="Times New Roman" w:hAnsi="Calibri" w:cs="Calibri"/>
          <w:sz w:val="12"/>
          <w:szCs w:val="12"/>
        </w:rPr>
      </w:pPr>
    </w:p>
    <w:p w:rsidR="00941044" w:rsidRDefault="00941044" w:rsidP="00941044">
      <w:pPr>
        <w:bidi w:val="0"/>
        <w:spacing w:after="0" w:line="240" w:lineRule="auto"/>
        <w:ind w:right="232" w:firstLine="45"/>
        <w:jc w:val="center"/>
        <w:rPr>
          <w:rFonts w:ascii="Calibri" w:eastAsia="Times New Roman" w:hAnsi="Calibri" w:cs="Calibri"/>
          <w:sz w:val="12"/>
          <w:szCs w:val="12"/>
        </w:rPr>
      </w:pPr>
    </w:p>
    <w:p w:rsidR="00941044" w:rsidRDefault="00941044" w:rsidP="00941044">
      <w:pPr>
        <w:bidi w:val="0"/>
        <w:spacing w:after="0" w:line="240" w:lineRule="auto"/>
        <w:ind w:right="232" w:firstLine="45"/>
        <w:jc w:val="center"/>
        <w:rPr>
          <w:rFonts w:ascii="Calibri" w:eastAsia="Times New Roman" w:hAnsi="Calibri" w:cs="Calibri"/>
          <w:sz w:val="12"/>
          <w:szCs w:val="12"/>
        </w:rPr>
      </w:pPr>
    </w:p>
    <w:p w:rsidR="00941044" w:rsidRDefault="00941044" w:rsidP="00941044">
      <w:pPr>
        <w:bidi w:val="0"/>
        <w:spacing w:after="0" w:line="240" w:lineRule="auto"/>
        <w:ind w:right="232" w:firstLine="45"/>
        <w:jc w:val="center"/>
        <w:rPr>
          <w:rFonts w:ascii="Calibri" w:eastAsia="Times New Roman" w:hAnsi="Calibri" w:cs="Calibri"/>
          <w:sz w:val="12"/>
          <w:szCs w:val="12"/>
        </w:rPr>
      </w:pPr>
    </w:p>
    <w:p w:rsidR="00941044" w:rsidRDefault="00941044" w:rsidP="00941044">
      <w:pPr>
        <w:bidi w:val="0"/>
        <w:spacing w:after="0" w:line="240" w:lineRule="auto"/>
        <w:ind w:right="232" w:firstLine="45"/>
        <w:jc w:val="center"/>
        <w:rPr>
          <w:rFonts w:ascii="Calibri" w:eastAsia="Times New Roman" w:hAnsi="Calibri" w:cs="Calibri"/>
          <w:sz w:val="12"/>
          <w:szCs w:val="12"/>
        </w:rPr>
      </w:pPr>
    </w:p>
    <w:p w:rsidR="00941044" w:rsidRDefault="00941044" w:rsidP="00941044">
      <w:pPr>
        <w:bidi w:val="0"/>
        <w:spacing w:after="0" w:line="240" w:lineRule="auto"/>
        <w:ind w:right="232" w:firstLine="45"/>
        <w:jc w:val="center"/>
        <w:rPr>
          <w:rFonts w:ascii="Calibri" w:eastAsia="Times New Roman" w:hAnsi="Calibri" w:cs="Calibri"/>
          <w:sz w:val="12"/>
          <w:szCs w:val="12"/>
        </w:rPr>
      </w:pPr>
    </w:p>
    <w:p w:rsidR="00941044" w:rsidRDefault="00941044" w:rsidP="00941044">
      <w:pPr>
        <w:bidi w:val="0"/>
        <w:spacing w:after="0" w:line="240" w:lineRule="auto"/>
        <w:ind w:right="232" w:firstLine="45"/>
        <w:jc w:val="center"/>
        <w:rPr>
          <w:rFonts w:ascii="Calibri" w:eastAsia="Times New Roman" w:hAnsi="Calibri" w:cs="Calibri"/>
          <w:sz w:val="12"/>
          <w:szCs w:val="12"/>
        </w:rPr>
      </w:pPr>
    </w:p>
    <w:p w:rsidR="00941044" w:rsidRDefault="00941044" w:rsidP="00941044">
      <w:pPr>
        <w:bidi w:val="0"/>
        <w:spacing w:after="0" w:line="240" w:lineRule="auto"/>
        <w:ind w:right="232" w:firstLine="45"/>
        <w:jc w:val="center"/>
        <w:rPr>
          <w:rFonts w:ascii="Calibri" w:eastAsia="Times New Roman" w:hAnsi="Calibri" w:cs="Calibri"/>
          <w:sz w:val="12"/>
          <w:szCs w:val="12"/>
        </w:rPr>
      </w:pPr>
    </w:p>
    <w:p w:rsidR="003D31CE" w:rsidRDefault="003D31CE" w:rsidP="003D31CE">
      <w:pPr>
        <w:bidi w:val="0"/>
        <w:spacing w:after="0" w:line="240" w:lineRule="auto"/>
        <w:ind w:right="232" w:firstLine="45"/>
        <w:jc w:val="center"/>
        <w:rPr>
          <w:rFonts w:ascii="Calibri" w:eastAsia="Times New Roman" w:hAnsi="Calibri" w:cs="Calibri"/>
          <w:sz w:val="12"/>
          <w:szCs w:val="12"/>
        </w:rPr>
      </w:pPr>
    </w:p>
    <w:p w:rsidR="003D31CE" w:rsidRDefault="003D31CE" w:rsidP="003D31CE">
      <w:pPr>
        <w:bidi w:val="0"/>
        <w:spacing w:after="0" w:line="240" w:lineRule="auto"/>
        <w:ind w:right="232" w:firstLine="45"/>
        <w:jc w:val="center"/>
        <w:rPr>
          <w:rFonts w:ascii="Calibri" w:eastAsia="Times New Roman" w:hAnsi="Calibri" w:cs="Calibri"/>
          <w:sz w:val="12"/>
          <w:szCs w:val="12"/>
        </w:rPr>
      </w:pPr>
    </w:p>
    <w:p w:rsidR="00941044" w:rsidRDefault="00941044" w:rsidP="00941044">
      <w:pPr>
        <w:bidi w:val="0"/>
        <w:spacing w:after="0" w:line="240" w:lineRule="auto"/>
        <w:ind w:right="232" w:firstLine="45"/>
        <w:jc w:val="center"/>
        <w:rPr>
          <w:rFonts w:ascii="Calibri" w:eastAsia="Times New Roman" w:hAnsi="Calibri" w:cs="Calibri"/>
          <w:sz w:val="12"/>
          <w:szCs w:val="12"/>
        </w:rPr>
      </w:pPr>
    </w:p>
    <w:p w:rsidR="00941044" w:rsidRDefault="00941044" w:rsidP="00941044">
      <w:pPr>
        <w:bidi w:val="0"/>
        <w:spacing w:after="0" w:line="240" w:lineRule="auto"/>
        <w:ind w:right="232" w:firstLine="45"/>
        <w:jc w:val="center"/>
        <w:rPr>
          <w:rFonts w:ascii="Calibri" w:eastAsia="Times New Roman" w:hAnsi="Calibri" w:cs="Calibri"/>
          <w:sz w:val="12"/>
          <w:szCs w:val="12"/>
        </w:rPr>
      </w:pPr>
    </w:p>
    <w:p w:rsidR="00941044" w:rsidRDefault="00941044" w:rsidP="00941044">
      <w:pPr>
        <w:bidi w:val="0"/>
        <w:spacing w:after="0" w:line="240" w:lineRule="auto"/>
        <w:ind w:right="232" w:firstLine="45"/>
        <w:jc w:val="center"/>
        <w:rPr>
          <w:rFonts w:ascii="Calibri" w:eastAsia="Times New Roman" w:hAnsi="Calibri" w:cs="Calibri"/>
          <w:sz w:val="12"/>
          <w:szCs w:val="12"/>
        </w:rPr>
      </w:pPr>
    </w:p>
    <w:p w:rsidR="00941044" w:rsidRDefault="00941044" w:rsidP="00963BBD">
      <w:pPr>
        <w:bidi w:val="0"/>
        <w:spacing w:after="0" w:line="240" w:lineRule="auto"/>
        <w:ind w:right="232"/>
        <w:rPr>
          <w:rFonts w:ascii="Calibri" w:eastAsia="Times New Roman" w:hAnsi="Calibri" w:cs="Calibri"/>
          <w:sz w:val="12"/>
          <w:szCs w:val="12"/>
        </w:rPr>
      </w:pPr>
    </w:p>
    <w:p w:rsidR="002F11FC" w:rsidRPr="00941044" w:rsidRDefault="002F11FC" w:rsidP="00A21DDB">
      <w:pPr>
        <w:bidi w:val="0"/>
        <w:spacing w:after="0" w:line="240" w:lineRule="auto"/>
        <w:ind w:left="-1276" w:right="232"/>
        <w:rPr>
          <w:rFonts w:eastAsia="Times New Roman" w:cs="Calibri"/>
        </w:rPr>
      </w:pPr>
      <w:r w:rsidRPr="00941044">
        <w:rPr>
          <w:rFonts w:eastAsia="Times New Roman" w:cs="Simplified Arabic"/>
          <w:b/>
          <w:bCs/>
          <w:sz w:val="28"/>
          <w:szCs w:val="28"/>
        </w:rPr>
        <w:lastRenderedPageBreak/>
        <w:t>Urban indicators</w:t>
      </w:r>
    </w:p>
    <w:tbl>
      <w:tblPr>
        <w:tblpPr w:leftFromText="180" w:rightFromText="180" w:vertAnchor="text" w:horzAnchor="margin" w:tblpXSpec="center" w:tblpY="184"/>
        <w:tblW w:w="10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402"/>
        <w:gridCol w:w="839"/>
        <w:gridCol w:w="1155"/>
        <w:gridCol w:w="851"/>
        <w:gridCol w:w="709"/>
        <w:gridCol w:w="708"/>
        <w:gridCol w:w="709"/>
        <w:gridCol w:w="567"/>
        <w:gridCol w:w="929"/>
      </w:tblGrid>
      <w:tr w:rsidR="00055A0D" w:rsidRPr="00941044" w:rsidTr="00055A0D">
        <w:trPr>
          <w:trHeight w:val="141"/>
        </w:trPr>
        <w:tc>
          <w:tcPr>
            <w:tcW w:w="851" w:type="dxa"/>
            <w:vMerge w:val="restart"/>
            <w:shd w:val="clear" w:color="auto" w:fill="F2F2F2"/>
            <w:vAlign w:val="center"/>
            <w:hideMark/>
          </w:tcPr>
          <w:p w:rsidR="00055A0D" w:rsidRPr="00941044" w:rsidRDefault="00055A0D" w:rsidP="002F11FC">
            <w:pPr>
              <w:bidi w:val="0"/>
              <w:spacing w:after="0" w:line="141" w:lineRule="atLeast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Indicator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  <w:rtl/>
              </w:rPr>
              <w:t xml:space="preserve">  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  <w:hideMark/>
          </w:tcPr>
          <w:p w:rsidR="00055A0D" w:rsidRPr="00941044" w:rsidRDefault="00055A0D" w:rsidP="0030655D">
            <w:pPr>
              <w:bidi w:val="0"/>
              <w:spacing w:after="0" w:line="141" w:lineRule="atLeast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Indicator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538" w:type="dxa"/>
            <w:gridSpan w:val="7"/>
            <w:shd w:val="clear" w:color="auto" w:fill="F2F2F2"/>
            <w:hideMark/>
          </w:tcPr>
          <w:p w:rsidR="00055A0D" w:rsidRPr="00941044" w:rsidRDefault="00055A0D" w:rsidP="002F11FC">
            <w:pPr>
              <w:bidi w:val="0"/>
              <w:spacing w:after="0" w:line="141" w:lineRule="atLeast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929" w:type="dxa"/>
            <w:vMerge w:val="restart"/>
            <w:shd w:val="clear" w:color="auto" w:fill="F2F2F2"/>
            <w:hideMark/>
          </w:tcPr>
          <w:p w:rsidR="00055A0D" w:rsidRPr="00941044" w:rsidRDefault="00055A0D" w:rsidP="00FF4677">
            <w:pPr>
              <w:bidi w:val="0"/>
              <w:spacing w:after="0" w:line="141" w:lineRule="atLeast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Frequency of data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collection</w:t>
            </w:r>
          </w:p>
        </w:tc>
      </w:tr>
      <w:tr w:rsidR="00055A0D" w:rsidRPr="00941044" w:rsidTr="00055A0D">
        <w:trPr>
          <w:trHeight w:val="141"/>
        </w:trPr>
        <w:tc>
          <w:tcPr>
            <w:tcW w:w="851" w:type="dxa"/>
            <w:vMerge/>
            <w:vAlign w:val="center"/>
            <w:hideMark/>
          </w:tcPr>
          <w:p w:rsidR="00055A0D" w:rsidRPr="00941044" w:rsidRDefault="00055A0D" w:rsidP="00055A0D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55A0D" w:rsidRPr="00941044" w:rsidRDefault="00055A0D" w:rsidP="00055A0D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839" w:type="dxa"/>
            <w:shd w:val="clear" w:color="auto" w:fill="F2F2F2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55A0D" w:rsidRPr="00941044" w:rsidRDefault="00055A0D" w:rsidP="00055A0D">
            <w:pPr>
              <w:bidi w:val="0"/>
              <w:spacing w:after="0" w:line="141" w:lineRule="atLeast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Simplified Arabic"/>
                <w:b/>
                <w:bCs/>
                <w:sz w:val="20"/>
                <w:szCs w:val="20"/>
                <w:lang w:bidi="ar-JO"/>
              </w:rPr>
              <w:t>2004</w:t>
            </w:r>
          </w:p>
        </w:tc>
        <w:tc>
          <w:tcPr>
            <w:tcW w:w="1155" w:type="dxa"/>
            <w:shd w:val="clear" w:color="auto" w:fill="F2F2F2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55A0D" w:rsidRPr="00941044" w:rsidRDefault="00055A0D" w:rsidP="00055A0D">
            <w:pPr>
              <w:bidi w:val="0"/>
              <w:spacing w:after="0" w:line="141" w:lineRule="atLeast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  <w:lang w:bidi="ar-JO"/>
              </w:rPr>
              <w:t>2006</w:t>
            </w:r>
          </w:p>
        </w:tc>
        <w:tc>
          <w:tcPr>
            <w:tcW w:w="851" w:type="dxa"/>
            <w:shd w:val="clear" w:color="auto" w:fill="F2F2F2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55A0D" w:rsidRPr="00941044" w:rsidRDefault="00055A0D" w:rsidP="00055A0D">
            <w:pPr>
              <w:bidi w:val="0"/>
              <w:spacing w:after="0" w:line="141" w:lineRule="atLeast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Simplified Arabic"/>
                <w:b/>
                <w:bCs/>
                <w:sz w:val="20"/>
                <w:szCs w:val="20"/>
                <w:lang w:bidi="ar-JO"/>
              </w:rPr>
              <w:t>2008</w:t>
            </w: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:rsidR="00055A0D" w:rsidRPr="00941044" w:rsidRDefault="00055A0D" w:rsidP="00055A0D">
            <w:pPr>
              <w:bidi w:val="0"/>
              <w:spacing w:after="0" w:line="141" w:lineRule="atLeast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Simplified Arabic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08" w:type="dxa"/>
            <w:shd w:val="clear" w:color="auto" w:fill="F2F2F2"/>
            <w:vAlign w:val="center"/>
            <w:hideMark/>
          </w:tcPr>
          <w:p w:rsidR="00055A0D" w:rsidRPr="00941044" w:rsidRDefault="00055A0D" w:rsidP="00055A0D">
            <w:pPr>
              <w:bidi w:val="0"/>
              <w:spacing w:after="0" w:line="141" w:lineRule="atLeast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Simplified Arabic"/>
                <w:b/>
                <w:bCs/>
                <w:sz w:val="20"/>
                <w:szCs w:val="20"/>
                <w:lang w:bidi="ar-JO"/>
              </w:rPr>
              <w:t>2011</w:t>
            </w:r>
          </w:p>
        </w:tc>
        <w:tc>
          <w:tcPr>
            <w:tcW w:w="709" w:type="dxa"/>
            <w:shd w:val="clear" w:color="auto" w:fill="F2F2F2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55A0D" w:rsidRPr="00941044" w:rsidRDefault="00055A0D" w:rsidP="00055A0D">
            <w:pPr>
              <w:bidi w:val="0"/>
              <w:spacing w:after="0" w:line="141" w:lineRule="atLeast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Simplified Arabic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055A0D" w:rsidRPr="00055A0D" w:rsidRDefault="00055A0D" w:rsidP="00055A0D">
            <w:pPr>
              <w:bidi w:val="0"/>
              <w:spacing w:after="0" w:line="141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055A0D">
              <w:rPr>
                <w:rFonts w:eastAsia="Times New Roman" w:cs="Calibr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29" w:type="dxa"/>
            <w:vMerge/>
            <w:vAlign w:val="center"/>
            <w:hideMark/>
          </w:tcPr>
          <w:p w:rsidR="00055A0D" w:rsidRPr="00941044" w:rsidRDefault="00055A0D" w:rsidP="00055A0D">
            <w:pPr>
              <w:bidi w:val="0"/>
              <w:rPr>
                <w:rFonts w:eastAsia="Times New Roman" w:cs="Calibri"/>
              </w:rPr>
            </w:pPr>
          </w:p>
        </w:tc>
      </w:tr>
      <w:tr w:rsidR="00055A0D" w:rsidRPr="00941044" w:rsidTr="00055A0D">
        <w:trPr>
          <w:trHeight w:val="268"/>
        </w:trPr>
        <w:tc>
          <w:tcPr>
            <w:tcW w:w="851" w:type="dxa"/>
            <w:vMerge w:val="restart"/>
            <w:shd w:val="clear" w:color="auto" w:fill="F2F2F2"/>
            <w:textDirection w:val="btLr"/>
            <w:vAlign w:val="center"/>
            <w:hideMark/>
          </w:tcPr>
          <w:p w:rsidR="00055A0D" w:rsidRPr="00941044" w:rsidRDefault="00055A0D" w:rsidP="00055A0D">
            <w:pPr>
              <w:bidi w:val="0"/>
              <w:spacing w:after="0" w:line="240" w:lineRule="auto"/>
              <w:ind w:left="113" w:right="113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Housing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production</w:t>
            </w:r>
          </w:p>
        </w:tc>
        <w:tc>
          <w:tcPr>
            <w:tcW w:w="3402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055A0D" w:rsidRPr="00941044" w:rsidRDefault="00055A0D" w:rsidP="00055A0D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17"/>
                <w:szCs w:val="17"/>
                <w:lang w:bidi="ar-JO"/>
              </w:rPr>
              <w:t>Total</w:t>
            </w:r>
            <w:r>
              <w:rPr>
                <w:rFonts w:eastAsia="Times New Roman" w:cs="Simplified Arabic"/>
                <w:b/>
                <w:bCs/>
                <w:sz w:val="17"/>
                <w:szCs w:val="17"/>
                <w:lang w:bidi="ar-JO"/>
              </w:rPr>
              <w:t xml:space="preserve"> </w:t>
            </w:r>
            <w:r w:rsidRPr="00941044">
              <w:rPr>
                <w:rFonts w:eastAsia="Times New Roman" w:cs="Simplified Arabic"/>
                <w:b/>
                <w:bCs/>
                <w:sz w:val="17"/>
                <w:szCs w:val="17"/>
                <w:lang w:bidi="ar-JO"/>
              </w:rPr>
              <w:t xml:space="preserve"> housing</w:t>
            </w:r>
            <w:r>
              <w:rPr>
                <w:rFonts w:eastAsia="Times New Roman" w:cs="Simplified Arabic"/>
                <w:b/>
                <w:bCs/>
                <w:sz w:val="17"/>
                <w:szCs w:val="17"/>
                <w:lang w:bidi="ar-JO"/>
              </w:rPr>
              <w:t xml:space="preserve"> </w:t>
            </w:r>
            <w:r w:rsidRPr="00941044">
              <w:rPr>
                <w:rFonts w:eastAsia="Times New Roman" w:cs="Simplified Arabic"/>
                <w:b/>
                <w:bCs/>
                <w:sz w:val="17"/>
                <w:szCs w:val="17"/>
                <w:lang w:bidi="ar-JO"/>
              </w:rPr>
              <w:t xml:space="preserve"> production</w:t>
            </w:r>
            <w:r w:rsidRPr="00941044">
              <w:rPr>
                <w:rFonts w:eastAsia="Times New Roman" w:cs="Calibri"/>
                <w:b/>
                <w:bCs/>
              </w:rPr>
              <w:t xml:space="preserve"> </w:t>
            </w:r>
            <w:r>
              <w:rPr>
                <w:rStyle w:val="FootnoteReference"/>
                <w:rFonts w:eastAsia="Times New Roman" w:cs="Calibri"/>
              </w:rPr>
              <w:footnoteReference w:id="15"/>
            </w:r>
          </w:p>
        </w:tc>
        <w:tc>
          <w:tcPr>
            <w:tcW w:w="839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55A0D" w:rsidRPr="00941044" w:rsidRDefault="00055A0D" w:rsidP="00055A0D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55A0D" w:rsidRPr="00941044" w:rsidRDefault="00055A0D" w:rsidP="00055A0D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55A0D" w:rsidRPr="00941044" w:rsidRDefault="00055A0D" w:rsidP="00055A0D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BFBFBF"/>
            <w:vAlign w:val="center"/>
            <w:hideMark/>
          </w:tcPr>
          <w:p w:rsidR="00055A0D" w:rsidRPr="00941044" w:rsidRDefault="00055A0D" w:rsidP="00055A0D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/>
            <w:hideMark/>
          </w:tcPr>
          <w:p w:rsidR="00055A0D" w:rsidRPr="00941044" w:rsidRDefault="00055A0D" w:rsidP="00055A0D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055A0D" w:rsidRPr="00941044" w:rsidRDefault="00055A0D" w:rsidP="00055A0D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BFBFBF"/>
            <w:hideMark/>
          </w:tcPr>
          <w:p w:rsidR="00055A0D" w:rsidRPr="00941044" w:rsidRDefault="00055A0D" w:rsidP="00055A0D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9" w:type="dxa"/>
            <w:shd w:val="clear" w:color="auto" w:fill="BFBFBF"/>
            <w:hideMark/>
          </w:tcPr>
          <w:p w:rsidR="00055A0D" w:rsidRPr="00941044" w:rsidRDefault="00055A0D" w:rsidP="00055A0D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055A0D" w:rsidRPr="00941044" w:rsidTr="00055A0D">
        <w:trPr>
          <w:trHeight w:val="337"/>
        </w:trPr>
        <w:tc>
          <w:tcPr>
            <w:tcW w:w="851" w:type="dxa"/>
            <w:vMerge/>
            <w:vAlign w:val="center"/>
            <w:hideMark/>
          </w:tcPr>
          <w:p w:rsidR="00055A0D" w:rsidRPr="00941044" w:rsidRDefault="00055A0D" w:rsidP="00055A0D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055A0D" w:rsidRPr="00E71751" w:rsidRDefault="00055A0D" w:rsidP="00055A0D">
            <w:pPr>
              <w:bidi w:val="0"/>
              <w:spacing w:after="0" w:line="240" w:lineRule="auto"/>
              <w:rPr>
                <w:rFonts w:eastAsia="Times New Roman" w:cs="Simplified Arabic"/>
                <w:b/>
                <w:bCs/>
                <w:sz w:val="16"/>
                <w:szCs w:val="16"/>
              </w:rPr>
            </w:pPr>
            <w:r w:rsidRPr="00E71751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Number of residential buildings  licenses </w:t>
            </w:r>
          </w:p>
        </w:tc>
        <w:tc>
          <w:tcPr>
            <w:tcW w:w="83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55A0D" w:rsidRPr="00941044" w:rsidRDefault="00055A0D" w:rsidP="00055A0D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13077</w:t>
            </w:r>
          </w:p>
        </w:tc>
        <w:tc>
          <w:tcPr>
            <w:tcW w:w="1155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55A0D" w:rsidRPr="00941044" w:rsidRDefault="00055A0D" w:rsidP="00055A0D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12623</w:t>
            </w:r>
          </w:p>
        </w:tc>
        <w:tc>
          <w:tcPr>
            <w:tcW w:w="851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55A0D" w:rsidRPr="00941044" w:rsidRDefault="00055A0D" w:rsidP="00055A0D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8732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55A0D" w:rsidRPr="00941044" w:rsidRDefault="00055A0D" w:rsidP="00055A0D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8447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55A0D" w:rsidRPr="00941044" w:rsidRDefault="00055A0D" w:rsidP="00055A0D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8841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55A0D" w:rsidRPr="00941044" w:rsidRDefault="00552DD7" w:rsidP="00055A0D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9057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55A0D" w:rsidRPr="00982C17" w:rsidRDefault="009C7004" w:rsidP="00055A0D">
            <w:pPr>
              <w:bidi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5272</w:t>
            </w:r>
            <w:r w:rsidR="00AB7E85" w:rsidRPr="0094104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  <w:hideMark/>
          </w:tcPr>
          <w:p w:rsidR="00055A0D" w:rsidRPr="00941044" w:rsidRDefault="00055A0D" w:rsidP="00055A0D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Quarterly</w:t>
            </w:r>
          </w:p>
        </w:tc>
      </w:tr>
      <w:tr w:rsidR="00AB7E85" w:rsidRPr="00941044" w:rsidTr="008617B8">
        <w:trPr>
          <w:trHeight w:val="268"/>
        </w:trPr>
        <w:tc>
          <w:tcPr>
            <w:tcW w:w="851" w:type="dxa"/>
            <w:vMerge/>
            <w:vAlign w:val="center"/>
            <w:hideMark/>
          </w:tcPr>
          <w:p w:rsidR="00AB7E85" w:rsidRPr="00941044" w:rsidRDefault="00AB7E85" w:rsidP="00AB7E85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AB7E85" w:rsidRPr="00EC17F7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EC17F7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Number of licensed dwellings</w:t>
            </w:r>
            <w:r w:rsidRPr="00EC17F7">
              <w:rPr>
                <w:rFonts w:eastAsia="Times New Roman" w:cs="Calibri"/>
                <w:b/>
                <w:bCs/>
              </w:rPr>
              <w:t xml:space="preserve"> </w:t>
            </w:r>
            <w:r w:rsidRPr="00EC17F7">
              <w:rPr>
                <w:rStyle w:val="FootnoteReference"/>
                <w:rFonts w:eastAsia="Times New Roman" w:cs="Calibri"/>
              </w:rPr>
              <w:footnoteReference w:id="16"/>
            </w:r>
          </w:p>
        </w:tc>
        <w:tc>
          <w:tcPr>
            <w:tcW w:w="83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35</w:t>
            </w: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052</w:t>
            </w:r>
          </w:p>
        </w:tc>
        <w:tc>
          <w:tcPr>
            <w:tcW w:w="1155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37719</w:t>
            </w:r>
          </w:p>
        </w:tc>
        <w:tc>
          <w:tcPr>
            <w:tcW w:w="851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37111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25029</w:t>
            </w:r>
          </w:p>
        </w:tc>
        <w:tc>
          <w:tcPr>
            <w:tcW w:w="708" w:type="dxa"/>
            <w:shd w:val="clear" w:color="auto" w:fill="FFFFFF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38382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38788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B7E85" w:rsidRPr="00982C17" w:rsidRDefault="009C7004" w:rsidP="00AB7E85">
            <w:pPr>
              <w:bidi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22858</w:t>
            </w:r>
            <w:r w:rsidR="00AB7E85" w:rsidRPr="0094104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Quarterly</w:t>
            </w:r>
          </w:p>
        </w:tc>
      </w:tr>
      <w:tr w:rsidR="00AB7E85" w:rsidRPr="00941044" w:rsidTr="00055A0D">
        <w:trPr>
          <w:trHeight w:val="268"/>
        </w:trPr>
        <w:tc>
          <w:tcPr>
            <w:tcW w:w="851" w:type="dxa"/>
            <w:vMerge/>
            <w:vAlign w:val="center"/>
            <w:hideMark/>
          </w:tcPr>
          <w:p w:rsidR="00AB7E85" w:rsidRPr="00941044" w:rsidRDefault="00AB7E85" w:rsidP="00AB7E85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AB7E85" w:rsidRPr="00EC17F7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EC17F7">
              <w:rPr>
                <w:rFonts w:eastAsia="Times New Roman" w:cs="Simplified Arabic"/>
                <w:b/>
                <w:bCs/>
                <w:sz w:val="16"/>
                <w:szCs w:val="16"/>
              </w:rPr>
              <w:t>Total area of</w:t>
            </w:r>
            <w:r w:rsidRPr="00EC17F7">
              <w:rPr>
                <w:rFonts w:eastAsia="Times New Roman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 w:rsidRPr="00EC17F7">
              <w:rPr>
                <w:rFonts w:eastAsia="Times New Roman" w:cs="Simplified Arabic"/>
                <w:b/>
                <w:bCs/>
                <w:sz w:val="16"/>
                <w:szCs w:val="16"/>
              </w:rPr>
              <w:t>licensed residential buildings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  </w:t>
            </w:r>
            <w:r w:rsidRPr="00EC17F7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(000 m²)</w:t>
            </w:r>
          </w:p>
        </w:tc>
        <w:tc>
          <w:tcPr>
            <w:tcW w:w="83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5762</w:t>
            </w:r>
          </w:p>
        </w:tc>
        <w:tc>
          <w:tcPr>
            <w:tcW w:w="1155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6696</w:t>
            </w:r>
          </w:p>
        </w:tc>
        <w:tc>
          <w:tcPr>
            <w:tcW w:w="851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5148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45</w:t>
            </w:r>
            <w:r>
              <w:rPr>
                <w:rFonts w:eastAsia="Times New Roman" w:cs="Simplified Arabic"/>
                <w:sz w:val="16"/>
                <w:szCs w:val="16"/>
              </w:rPr>
              <w:t>62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6486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6721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B7E85" w:rsidRPr="00982C17" w:rsidRDefault="009C7004" w:rsidP="00AB7E85">
            <w:pPr>
              <w:bidi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3897</w:t>
            </w:r>
            <w:r w:rsidR="00AB7E85" w:rsidRPr="0094104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Quarterly</w:t>
            </w:r>
          </w:p>
        </w:tc>
      </w:tr>
      <w:tr w:rsidR="00AB7E85" w:rsidRPr="00941044" w:rsidTr="00055A0D">
        <w:trPr>
          <w:trHeight w:val="268"/>
        </w:trPr>
        <w:tc>
          <w:tcPr>
            <w:tcW w:w="851" w:type="dxa"/>
            <w:vMerge/>
            <w:vAlign w:val="center"/>
            <w:hideMark/>
          </w:tcPr>
          <w:p w:rsidR="00AB7E85" w:rsidRPr="00941044" w:rsidRDefault="00AB7E85" w:rsidP="00AB7E85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402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AB7E85" w:rsidRPr="001A09E9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3B5813">
              <w:rPr>
                <w:rFonts w:eastAsia="Times New Roman" w:cs="Simplified Arabic"/>
                <w:b/>
                <w:bCs/>
                <w:sz w:val="17"/>
                <w:szCs w:val="17"/>
                <w:lang w:bidi="ar-JO"/>
              </w:rPr>
              <w:t>Private sector (owner building + housing companies)</w:t>
            </w:r>
            <w:r w:rsidRPr="003B5813">
              <w:rPr>
                <w:rFonts w:eastAsia="Times New Roman" w:cs="Calibri"/>
                <w:b/>
                <w:bCs/>
              </w:rPr>
              <w:t xml:space="preserve"> </w:t>
            </w:r>
            <w:r w:rsidRPr="001A09E9">
              <w:rPr>
                <w:rStyle w:val="FootnoteReference"/>
                <w:rFonts w:eastAsia="Times New Roman" w:cs="Calibri"/>
              </w:rPr>
              <w:footnoteReference w:id="17"/>
            </w:r>
          </w:p>
        </w:tc>
        <w:tc>
          <w:tcPr>
            <w:tcW w:w="839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BFBFB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BFBFBF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9" w:type="dxa"/>
            <w:shd w:val="clear" w:color="auto" w:fill="BFBFB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AB7E85" w:rsidRPr="00941044" w:rsidTr="00055A0D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AB7E85" w:rsidRPr="00941044" w:rsidRDefault="00AB7E85" w:rsidP="00AB7E85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AB7E85" w:rsidRPr="00E71751" w:rsidRDefault="00AB7E85" w:rsidP="00AB7E85">
            <w:pPr>
              <w:bidi w:val="0"/>
              <w:spacing w:after="0" w:line="240" w:lineRule="auto"/>
              <w:rPr>
                <w:rFonts w:eastAsia="Times New Roman" w:cs="Simplified Arabic"/>
                <w:b/>
                <w:bCs/>
                <w:sz w:val="16"/>
                <w:szCs w:val="16"/>
              </w:rPr>
            </w:pPr>
            <w:r w:rsidRPr="00E71751">
              <w:rPr>
                <w:rFonts w:eastAsia="Times New Roman" w:cs="Simplified Arabic"/>
                <w:b/>
                <w:bCs/>
                <w:sz w:val="16"/>
                <w:szCs w:val="16"/>
              </w:rPr>
              <w:t>Number of residential buildings  licenses</w:t>
            </w:r>
          </w:p>
        </w:tc>
        <w:tc>
          <w:tcPr>
            <w:tcW w:w="83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13</w:t>
            </w: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0</w:t>
            </w: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4</w:t>
            </w: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12596</w:t>
            </w:r>
          </w:p>
        </w:tc>
        <w:tc>
          <w:tcPr>
            <w:tcW w:w="851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8697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8402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8817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9039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B7E85" w:rsidRPr="00982C17" w:rsidRDefault="009C7004" w:rsidP="00AB7E85">
            <w:pPr>
              <w:bidi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5264</w:t>
            </w:r>
            <w:r w:rsidR="00AB7E85" w:rsidRPr="0094104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 xml:space="preserve">Quarterly </w:t>
            </w:r>
          </w:p>
        </w:tc>
      </w:tr>
      <w:tr w:rsidR="00AB7E85" w:rsidRPr="00941044" w:rsidTr="008617B8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AB7E85" w:rsidRPr="00941044" w:rsidRDefault="00AB7E85" w:rsidP="00AB7E85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AB7E85" w:rsidRPr="001A09E9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EC17F7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Number of licensed dwellings</w:t>
            </w:r>
          </w:p>
        </w:tc>
        <w:tc>
          <w:tcPr>
            <w:tcW w:w="83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34977</w:t>
            </w:r>
          </w:p>
        </w:tc>
        <w:tc>
          <w:tcPr>
            <w:tcW w:w="1155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37649</w:t>
            </w:r>
          </w:p>
        </w:tc>
        <w:tc>
          <w:tcPr>
            <w:tcW w:w="851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37024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2463</w:t>
            </w:r>
            <w:r>
              <w:rPr>
                <w:rFonts w:eastAsia="Times New Roman" w:cs="Simplified Arabic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38333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38725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B7E85" w:rsidRPr="00982C17" w:rsidRDefault="009C7004" w:rsidP="00AB7E85">
            <w:pPr>
              <w:bidi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22842</w:t>
            </w:r>
            <w:r w:rsidR="00AB7E85" w:rsidRPr="0094104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Quarterly</w:t>
            </w:r>
          </w:p>
        </w:tc>
      </w:tr>
      <w:tr w:rsidR="00AB7E85" w:rsidRPr="00941044" w:rsidTr="00055A0D">
        <w:trPr>
          <w:trHeight w:val="268"/>
        </w:trPr>
        <w:tc>
          <w:tcPr>
            <w:tcW w:w="851" w:type="dxa"/>
            <w:vMerge/>
            <w:vAlign w:val="center"/>
            <w:hideMark/>
          </w:tcPr>
          <w:p w:rsidR="00AB7E85" w:rsidRPr="00941044" w:rsidRDefault="00AB7E85" w:rsidP="00AB7E85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AB7E85" w:rsidRPr="001A09E9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EC17F7">
              <w:rPr>
                <w:rFonts w:eastAsia="Times New Roman" w:cs="Simplified Arabic"/>
                <w:b/>
                <w:bCs/>
                <w:sz w:val="16"/>
                <w:szCs w:val="16"/>
              </w:rPr>
              <w:t>Total area of</w:t>
            </w:r>
            <w:r w:rsidRPr="00EC17F7">
              <w:rPr>
                <w:rFonts w:eastAsia="Times New Roman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 w:rsidRPr="00EC17F7">
              <w:rPr>
                <w:rFonts w:eastAsia="Times New Roman" w:cs="Simplified Arabic"/>
                <w:b/>
                <w:bCs/>
                <w:sz w:val="16"/>
                <w:szCs w:val="16"/>
              </w:rPr>
              <w:t>licensed residential buildings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  </w:t>
            </w:r>
            <w:r w:rsidRPr="00EC17F7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(000 m²)</w:t>
            </w:r>
          </w:p>
        </w:tc>
        <w:tc>
          <w:tcPr>
            <w:tcW w:w="83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5749</w:t>
            </w:r>
          </w:p>
        </w:tc>
        <w:tc>
          <w:tcPr>
            <w:tcW w:w="1155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6681</w:t>
            </w:r>
          </w:p>
        </w:tc>
        <w:tc>
          <w:tcPr>
            <w:tcW w:w="851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5135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4511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6477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6710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B7E85" w:rsidRPr="00982C17" w:rsidRDefault="009C7004" w:rsidP="00AB7E85">
            <w:pPr>
              <w:bidi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3895</w:t>
            </w:r>
            <w:r w:rsidR="00AB7E85" w:rsidRPr="0094104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Quarterly</w:t>
            </w:r>
          </w:p>
        </w:tc>
      </w:tr>
      <w:tr w:rsidR="00AB7E85" w:rsidRPr="00941044" w:rsidTr="00055A0D">
        <w:trPr>
          <w:trHeight w:val="268"/>
        </w:trPr>
        <w:tc>
          <w:tcPr>
            <w:tcW w:w="851" w:type="dxa"/>
            <w:vMerge/>
            <w:vAlign w:val="center"/>
            <w:hideMark/>
          </w:tcPr>
          <w:p w:rsidR="00AB7E85" w:rsidRPr="00941044" w:rsidRDefault="00AB7E85" w:rsidP="00AB7E85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AB7E85" w:rsidRPr="001A09E9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156303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Number of housing units completed</w:t>
            </w:r>
            <w:r w:rsidRPr="00156303">
              <w:rPr>
                <w:rFonts w:eastAsia="Times New Roman" w:cs="Calibri"/>
                <w:b/>
                <w:bCs/>
              </w:rPr>
              <w:t xml:space="preserve"> </w:t>
            </w:r>
            <w:r w:rsidRPr="001A09E9">
              <w:rPr>
                <w:rStyle w:val="FootnoteReference"/>
                <w:rFonts w:eastAsia="Times New Roman" w:cs="Calibri"/>
              </w:rPr>
              <w:footnoteReference w:id="18"/>
            </w:r>
          </w:p>
        </w:tc>
        <w:tc>
          <w:tcPr>
            <w:tcW w:w="83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32109</w:t>
            </w:r>
          </w:p>
        </w:tc>
        <w:tc>
          <w:tcPr>
            <w:tcW w:w="1155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29389</w:t>
            </w:r>
          </w:p>
        </w:tc>
        <w:tc>
          <w:tcPr>
            <w:tcW w:w="851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27868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31120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25</w:t>
            </w:r>
            <w:r>
              <w:rPr>
                <w:rFonts w:eastAsia="Times New Roman" w:cs="Simplified Arabic"/>
                <w:sz w:val="16"/>
                <w:szCs w:val="16"/>
              </w:rPr>
              <w:t>606</w:t>
            </w:r>
            <w:r>
              <w:rPr>
                <w:rStyle w:val="FootnoteReference"/>
                <w:rFonts w:eastAsia="Times New Roman" w:cs="Simplified Arabic"/>
                <w:sz w:val="16"/>
                <w:szCs w:val="16"/>
              </w:rPr>
              <w:footnoteReference w:id="19"/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AB7E85" w:rsidRPr="00AB3301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AB3301">
              <w:rPr>
                <w:rFonts w:eastAsia="Times New Roman" w:cs="Simplified Arabic"/>
                <w:sz w:val="16"/>
                <w:szCs w:val="16"/>
              </w:rPr>
              <w:t> </w:t>
            </w:r>
            <w:r w:rsidR="00AB3301" w:rsidRPr="00AB3301">
              <w:rPr>
                <w:rFonts w:eastAsia="Times New Roman" w:cs="Calibri"/>
                <w:sz w:val="16"/>
                <w:szCs w:val="16"/>
                <w:highlight w:val="yellow"/>
              </w:rPr>
              <w:t>36789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</w:tr>
      <w:tr w:rsidR="00AB7E85" w:rsidRPr="00941044" w:rsidTr="00055A0D">
        <w:trPr>
          <w:trHeight w:val="268"/>
        </w:trPr>
        <w:tc>
          <w:tcPr>
            <w:tcW w:w="851" w:type="dxa"/>
            <w:vMerge/>
            <w:vAlign w:val="center"/>
            <w:hideMark/>
          </w:tcPr>
          <w:p w:rsidR="00AB7E85" w:rsidRPr="00941044" w:rsidRDefault="00AB7E85" w:rsidP="00AB7E85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402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AB7E85" w:rsidRPr="001A09E9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156303">
              <w:rPr>
                <w:rFonts w:eastAsia="Times New Roman" w:cs="Simplified Arabic"/>
                <w:b/>
                <w:bCs/>
                <w:sz w:val="17"/>
                <w:szCs w:val="17"/>
              </w:rPr>
              <w:t>The</w:t>
            </w:r>
            <w:r>
              <w:rPr>
                <w:rFonts w:eastAsia="Times New Roman" w:cs="Simplified Arabic"/>
                <w:b/>
                <w:bCs/>
                <w:sz w:val="17"/>
                <w:szCs w:val="17"/>
              </w:rPr>
              <w:t xml:space="preserve"> </w:t>
            </w:r>
            <w:r w:rsidRPr="00156303">
              <w:rPr>
                <w:rFonts w:eastAsia="Times New Roman" w:cs="Simplified Arabic"/>
                <w:b/>
                <w:bCs/>
                <w:sz w:val="17"/>
                <w:szCs w:val="17"/>
              </w:rPr>
              <w:t>organized</w:t>
            </w:r>
            <w:r>
              <w:rPr>
                <w:rFonts w:eastAsia="Times New Roman" w:cs="Simplified Arabic"/>
                <w:b/>
                <w:bCs/>
                <w:sz w:val="17"/>
                <w:szCs w:val="17"/>
              </w:rPr>
              <w:t xml:space="preserve">  </w:t>
            </w:r>
            <w:r w:rsidRPr="00156303">
              <w:rPr>
                <w:rFonts w:eastAsia="Times New Roman" w:cs="Simplified Arabic"/>
                <w:b/>
                <w:bCs/>
                <w:sz w:val="17"/>
                <w:szCs w:val="17"/>
              </w:rPr>
              <w:t>private sector (companies House)</w:t>
            </w:r>
          </w:p>
        </w:tc>
        <w:tc>
          <w:tcPr>
            <w:tcW w:w="839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BFBFB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BFBFBF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BFBFBF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9" w:type="dxa"/>
            <w:shd w:val="clear" w:color="auto" w:fill="BFBFB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AB7E85" w:rsidRPr="00941044" w:rsidTr="00CB46A9">
        <w:trPr>
          <w:trHeight w:val="496"/>
        </w:trPr>
        <w:tc>
          <w:tcPr>
            <w:tcW w:w="851" w:type="dxa"/>
            <w:vMerge/>
            <w:vAlign w:val="center"/>
            <w:hideMark/>
          </w:tcPr>
          <w:p w:rsidR="00AB7E85" w:rsidRPr="00941044" w:rsidRDefault="00AB7E85" w:rsidP="00AB7E85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AB7E85" w:rsidRPr="00156303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156303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The organized private sector production estimates (in terms of sales contracts</w:t>
            </w:r>
            <w:r w:rsidRPr="00156303">
              <w:rPr>
                <w:rFonts w:eastAsia="Times New Roman" w:cs="Simplified Arabic"/>
                <w:b/>
                <w:bCs/>
                <w:sz w:val="17"/>
                <w:szCs w:val="17"/>
                <w:lang w:bidi="ar-JO"/>
              </w:rPr>
              <w:t>)</w:t>
            </w:r>
            <w:r w:rsidRPr="00156303">
              <w:rPr>
                <w:rFonts w:eastAsia="Times New Roman" w:cs="Calibri"/>
                <w:b/>
                <w:bCs/>
              </w:rPr>
              <w:t xml:space="preserve"> </w:t>
            </w:r>
            <w:r w:rsidRPr="00156303">
              <w:rPr>
                <w:rStyle w:val="FootnoteReference"/>
                <w:rFonts w:eastAsia="Times New Roman" w:cs="Calibri"/>
              </w:rPr>
              <w:footnoteReference w:id="20"/>
            </w:r>
          </w:p>
        </w:tc>
        <w:tc>
          <w:tcPr>
            <w:tcW w:w="83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9</w:t>
            </w:r>
            <w:r>
              <w:rPr>
                <w:rFonts w:eastAsia="Times New Roman" w:cs="Simplified Arabic"/>
                <w:sz w:val="16"/>
                <w:szCs w:val="16"/>
              </w:rPr>
              <w:t>194</w:t>
            </w:r>
          </w:p>
        </w:tc>
        <w:tc>
          <w:tcPr>
            <w:tcW w:w="1155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10801 (2007)</w:t>
            </w:r>
          </w:p>
        </w:tc>
        <w:tc>
          <w:tcPr>
            <w:tcW w:w="851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12206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12282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17246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CB46A9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CB46A9">
              <w:rPr>
                <w:rFonts w:eastAsia="Times New Roman" w:cs="Calibri"/>
                <w:sz w:val="16"/>
                <w:szCs w:val="16"/>
              </w:rPr>
              <w:t>17021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</w:tr>
      <w:tr w:rsidR="00AB7E85" w:rsidRPr="00941044" w:rsidTr="00AB3301">
        <w:trPr>
          <w:trHeight w:val="845"/>
        </w:trPr>
        <w:tc>
          <w:tcPr>
            <w:tcW w:w="851" w:type="dxa"/>
            <w:vMerge/>
            <w:vAlign w:val="center"/>
            <w:hideMark/>
          </w:tcPr>
          <w:p w:rsidR="00AB7E85" w:rsidRPr="00941044" w:rsidRDefault="00AB7E85" w:rsidP="00AB7E85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hideMark/>
          </w:tcPr>
          <w:p w:rsidR="00AB7E85" w:rsidRPr="00156303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156303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The ratio of the contribution of the private sector organization of housing production (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 xml:space="preserve">in terms </w:t>
            </w:r>
            <w:r w:rsidRPr="00156303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of sales relative to the total number of housing units completed in the same year</w:t>
            </w:r>
            <w:r w:rsidRPr="00156303">
              <w:rPr>
                <w:rFonts w:eastAsia="Times New Roman" w:cs="Simplified Arabic"/>
                <w:b/>
                <w:bCs/>
                <w:sz w:val="17"/>
                <w:szCs w:val="17"/>
                <w:lang w:bidi="ar-JO"/>
              </w:rPr>
              <w:t>)</w:t>
            </w:r>
            <w:r w:rsidRPr="00156303">
              <w:rPr>
                <w:rFonts w:eastAsia="Times New Roman" w:cs="Calibri"/>
                <w:b/>
                <w:bCs/>
              </w:rPr>
              <w:t xml:space="preserve"> </w:t>
            </w:r>
            <w:r w:rsidRPr="00156303">
              <w:rPr>
                <w:rStyle w:val="FootnoteReference"/>
                <w:rFonts w:eastAsia="Times New Roman" w:cs="Calibri"/>
              </w:rPr>
              <w:footnoteReference w:id="21"/>
            </w:r>
          </w:p>
        </w:tc>
        <w:tc>
          <w:tcPr>
            <w:tcW w:w="83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28.6</w:t>
            </w:r>
          </w:p>
        </w:tc>
        <w:tc>
          <w:tcPr>
            <w:tcW w:w="1155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36.8</w:t>
            </w:r>
          </w:p>
        </w:tc>
        <w:tc>
          <w:tcPr>
            <w:tcW w:w="851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43.8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39.5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67.4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AB3301" w:rsidRDefault="00AB7E85" w:rsidP="00AB3301">
            <w:pPr>
              <w:bidi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</w:t>
            </w:r>
            <w:r w:rsidR="00AB3301" w:rsidRPr="00DB2C83">
              <w:rPr>
                <w:rFonts w:eastAsia="Times New Roman" w:cs="Calibri"/>
                <w:sz w:val="16"/>
                <w:szCs w:val="16"/>
                <w:highlight w:val="yellow"/>
              </w:rPr>
              <w:t>46.3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</w:tr>
      <w:tr w:rsidR="00AB7E85" w:rsidRPr="00941044" w:rsidTr="00055A0D">
        <w:trPr>
          <w:trHeight w:val="447"/>
        </w:trPr>
        <w:tc>
          <w:tcPr>
            <w:tcW w:w="851" w:type="dxa"/>
            <w:vMerge/>
            <w:shd w:val="clear" w:color="auto" w:fill="F2F2F2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156303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156303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Annual housing need</w:t>
            </w:r>
            <w:r w:rsidRPr="00156303">
              <w:rPr>
                <w:rFonts w:eastAsia="Times New Roman" w:cs="Calibri"/>
                <w:b/>
                <w:bCs/>
              </w:rPr>
              <w:t xml:space="preserve"> </w:t>
            </w:r>
            <w:r w:rsidRPr="00156303">
              <w:rPr>
                <w:rStyle w:val="FootnoteReference"/>
                <w:rFonts w:eastAsia="Times New Roman" w:cs="Calibri"/>
              </w:rPr>
              <w:footnoteReference w:id="22"/>
            </w:r>
          </w:p>
        </w:tc>
        <w:tc>
          <w:tcPr>
            <w:tcW w:w="83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29860</w:t>
            </w:r>
          </w:p>
        </w:tc>
        <w:tc>
          <w:tcPr>
            <w:tcW w:w="1155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31739</w:t>
            </w:r>
          </w:p>
        </w:tc>
        <w:tc>
          <w:tcPr>
            <w:tcW w:w="851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32179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32645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32887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33332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B7E85" w:rsidRPr="00960E83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960E83">
              <w:rPr>
                <w:rFonts w:eastAsia="Times New Roman" w:cs="Calibri"/>
                <w:sz w:val="16"/>
                <w:szCs w:val="16"/>
              </w:rPr>
              <w:t>33777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</w:tr>
      <w:tr w:rsidR="00AB7E85" w:rsidRPr="00941044" w:rsidTr="000F2A13">
        <w:trPr>
          <w:trHeight w:val="447"/>
        </w:trPr>
        <w:tc>
          <w:tcPr>
            <w:tcW w:w="851" w:type="dxa"/>
            <w:vMerge/>
            <w:shd w:val="clear" w:color="auto" w:fill="F2F2F2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156303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156303">
              <w:rPr>
                <w:rFonts w:eastAsia="Times New Roman" w:cs="Simplified Arabic"/>
                <w:b/>
                <w:bCs/>
                <w:sz w:val="16"/>
                <w:szCs w:val="16"/>
              </w:rPr>
              <w:t>Median price of housing</w:t>
            </w:r>
            <w:r w:rsidRPr="00156303">
              <w:rPr>
                <w:rStyle w:val="FootnoteReference"/>
                <w:rFonts w:eastAsia="Times New Roman" w:cs="Calibri"/>
              </w:rPr>
              <w:footnoteReference w:id="23"/>
            </w:r>
          </w:p>
        </w:tc>
        <w:tc>
          <w:tcPr>
            <w:tcW w:w="83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N.</w:t>
            </w:r>
            <w:r>
              <w:rPr>
                <w:rFonts w:eastAsia="Times New Roman" w:cs="Simplified Arabic"/>
                <w:sz w:val="16"/>
                <w:szCs w:val="16"/>
              </w:rPr>
              <w:t>A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.</w:t>
            </w:r>
          </w:p>
        </w:tc>
        <w:tc>
          <w:tcPr>
            <w:tcW w:w="1155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N.</w:t>
            </w:r>
            <w:r>
              <w:rPr>
                <w:rFonts w:eastAsia="Times New Roman" w:cs="Simplified Arabic"/>
                <w:sz w:val="16"/>
                <w:szCs w:val="16"/>
              </w:rPr>
              <w:t>A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44810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44000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47300</w:t>
            </w:r>
          </w:p>
        </w:tc>
        <w:tc>
          <w:tcPr>
            <w:tcW w:w="709" w:type="dxa"/>
            <w:shd w:val="clear" w:color="auto" w:fill="FFFFFF"/>
            <w:tcMar>
              <w:top w:w="32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B7E85" w:rsidRPr="000F2A13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0F2A13">
              <w:rPr>
                <w:rFonts w:eastAsia="Times New Roman" w:cs="Calibri"/>
                <w:sz w:val="16"/>
                <w:szCs w:val="16"/>
              </w:rPr>
              <w:t>50000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  <w:vAlign w:val="center"/>
            <w:hideMark/>
          </w:tcPr>
          <w:p w:rsidR="00AB7E85" w:rsidRPr="00941044" w:rsidRDefault="00AB7E85" w:rsidP="00AB7E8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</w:tr>
    </w:tbl>
    <w:p w:rsidR="002F11FC" w:rsidRPr="002F11FC" w:rsidRDefault="002F11FC" w:rsidP="002F11FC">
      <w:pPr>
        <w:bidi w:val="0"/>
        <w:spacing w:after="0" w:line="240" w:lineRule="auto"/>
        <w:ind w:right="232"/>
        <w:rPr>
          <w:rFonts w:ascii="Calibri" w:eastAsia="Times New Roman" w:hAnsi="Calibri" w:cs="Calibri"/>
          <w:sz w:val="2"/>
          <w:szCs w:val="2"/>
        </w:rPr>
      </w:pPr>
    </w:p>
    <w:p w:rsidR="002F11FC" w:rsidRPr="008E4575" w:rsidRDefault="002F11FC" w:rsidP="002F11FC">
      <w:pPr>
        <w:bidi w:val="0"/>
        <w:spacing w:after="0" w:line="240" w:lineRule="auto"/>
        <w:ind w:right="232"/>
        <w:rPr>
          <w:rFonts w:eastAsia="Times New Roman" w:cs="Calibri"/>
        </w:rPr>
      </w:pPr>
      <w:r w:rsidRPr="008E4575">
        <w:rPr>
          <w:rFonts w:eastAsia="Times New Roman" w:cs="Simplified Arabic"/>
          <w:b/>
          <w:bCs/>
          <w:sz w:val="14"/>
          <w:szCs w:val="14"/>
        </w:rPr>
        <w:t xml:space="preserve">Source: </w:t>
      </w:r>
    </w:p>
    <w:p w:rsidR="002F11FC" w:rsidRPr="002F11FC" w:rsidRDefault="002F11FC" w:rsidP="002F11FC">
      <w:pPr>
        <w:bidi w:val="0"/>
        <w:spacing w:after="0" w:line="240" w:lineRule="auto"/>
        <w:ind w:right="561"/>
        <w:rPr>
          <w:rFonts w:ascii="Calibri" w:eastAsia="Times New Roman" w:hAnsi="Calibri" w:cs="Calibri"/>
          <w:sz w:val="12"/>
          <w:szCs w:val="12"/>
        </w:rPr>
      </w:pPr>
      <w:r w:rsidRPr="002F11FC">
        <w:rPr>
          <w:rFonts w:ascii="Symbol" w:eastAsia="Times New Roman" w:hAnsi="Symbol" w:cs="Calibri"/>
          <w:sz w:val="12"/>
          <w:szCs w:val="12"/>
        </w:rPr>
        <w:t></w:t>
      </w:r>
      <w:r w:rsidRPr="002F11FC">
        <w:rPr>
          <w:rFonts w:ascii="Times New Roman" w:eastAsia="Times New Roman" w:hAnsi="Times New Roman" w:cs="Times New Roman"/>
          <w:sz w:val="12"/>
          <w:szCs w:val="12"/>
        </w:rPr>
        <w:t> </w:t>
      </w:r>
      <w:r w:rsidR="00382821" w:rsidRPr="00382821">
        <w:rPr>
          <w:rFonts w:eastAsia="Times New Roman" w:cstheme="minorHAnsi"/>
          <w:sz w:val="12"/>
          <w:szCs w:val="12"/>
        </w:rPr>
        <w:t>Reports of</w:t>
      </w:r>
      <w:r w:rsidR="00433542">
        <w:rPr>
          <w:rFonts w:ascii="Times New Roman" w:eastAsia="Times New Roman" w:hAnsi="Times New Roman" w:cs="Times New Roman"/>
          <w:sz w:val="12"/>
          <w:szCs w:val="12"/>
        </w:rPr>
        <w:t> </w:t>
      </w:r>
      <w:r w:rsidRPr="002F11FC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8E4575">
        <w:rPr>
          <w:rFonts w:eastAsia="Times New Roman" w:cs="Simplified Arabic"/>
          <w:sz w:val="12"/>
          <w:szCs w:val="12"/>
          <w:lang w:bidi="ar-JO"/>
        </w:rPr>
        <w:t>Jordan (2004), (2006)</w:t>
      </w:r>
      <w:r w:rsidR="00575F16">
        <w:rPr>
          <w:rFonts w:eastAsia="Times New Roman" w:cs="Simplified Arabic"/>
          <w:sz w:val="12"/>
          <w:szCs w:val="12"/>
          <w:lang w:bidi="ar-JO"/>
        </w:rPr>
        <w:t xml:space="preserve">, (2007), </w:t>
      </w:r>
      <w:r w:rsidR="00491C2F">
        <w:rPr>
          <w:rFonts w:eastAsia="Times New Roman" w:cs="Simplified Arabic"/>
          <w:sz w:val="12"/>
          <w:szCs w:val="12"/>
          <w:lang w:bidi="ar-JO"/>
        </w:rPr>
        <w:t>(</w:t>
      </w:r>
      <w:r w:rsidR="00575F16">
        <w:rPr>
          <w:rFonts w:eastAsia="Times New Roman" w:cs="Simplified Arabic"/>
          <w:sz w:val="12"/>
          <w:szCs w:val="12"/>
          <w:lang w:bidi="ar-JO"/>
        </w:rPr>
        <w:t>2008), (2009), (2010), (2011)</w:t>
      </w:r>
      <w:r w:rsidR="004346C8">
        <w:rPr>
          <w:rFonts w:eastAsia="Times New Roman" w:cs="Simplified Arabic"/>
          <w:sz w:val="12"/>
          <w:szCs w:val="12"/>
          <w:lang w:bidi="ar-JO"/>
        </w:rPr>
        <w:t xml:space="preserve">, (2012) </w:t>
      </w:r>
      <w:r w:rsidR="00575F16">
        <w:rPr>
          <w:rFonts w:eastAsia="Times New Roman" w:cs="Simplified Arabic"/>
          <w:sz w:val="12"/>
          <w:szCs w:val="12"/>
          <w:lang w:bidi="ar-JO"/>
        </w:rPr>
        <w:t>/</w:t>
      </w:r>
      <w:r w:rsidRPr="008E4575">
        <w:rPr>
          <w:rFonts w:eastAsia="Times New Roman" w:cs="Simplified Arabic"/>
          <w:sz w:val="12"/>
          <w:szCs w:val="12"/>
          <w:lang w:bidi="ar-JO"/>
        </w:rPr>
        <w:t xml:space="preserve"> The Department of statistics</w:t>
      </w:r>
      <w:r w:rsidRPr="002F11FC">
        <w:rPr>
          <w:rFonts w:ascii="Simplified Arabic" w:eastAsia="Times New Roman" w:hAnsi="Simplified Arabic" w:cs="Simplified Arabic"/>
          <w:sz w:val="12"/>
          <w:szCs w:val="12"/>
          <w:lang w:bidi="ar-JO"/>
        </w:rPr>
        <w:t>.</w:t>
      </w:r>
    </w:p>
    <w:p w:rsidR="002F11FC" w:rsidRPr="008E4575" w:rsidRDefault="002F11FC" w:rsidP="008E4575">
      <w:pPr>
        <w:bidi w:val="0"/>
        <w:spacing w:after="0" w:line="240" w:lineRule="auto"/>
        <w:ind w:right="232"/>
        <w:rPr>
          <w:rFonts w:eastAsia="Times New Roman" w:cs="Calibri"/>
          <w:sz w:val="12"/>
          <w:szCs w:val="12"/>
        </w:rPr>
      </w:pPr>
      <w:r w:rsidRPr="002F11FC">
        <w:rPr>
          <w:rFonts w:ascii="Symbol" w:eastAsia="Times New Roman" w:hAnsi="Symbol" w:cs="Calibri"/>
          <w:sz w:val="12"/>
          <w:szCs w:val="12"/>
        </w:rPr>
        <w:t></w:t>
      </w:r>
      <w:r w:rsidRPr="002F11FC">
        <w:rPr>
          <w:rFonts w:ascii="Times New Roman" w:eastAsia="Times New Roman" w:hAnsi="Times New Roman" w:cs="Times New Roman"/>
          <w:sz w:val="12"/>
          <w:szCs w:val="12"/>
        </w:rPr>
        <w:t>  </w:t>
      </w:r>
      <w:r w:rsidRPr="008E4575">
        <w:rPr>
          <w:rFonts w:eastAsia="Times New Roman" w:cs="Simplified Arabic"/>
          <w:sz w:val="12"/>
          <w:szCs w:val="12"/>
          <w:lang w:bidi="ar-JO"/>
        </w:rPr>
        <w:t>Construction statistics (2004), (2006)</w:t>
      </w:r>
      <w:r w:rsidR="003539C3">
        <w:rPr>
          <w:rFonts w:eastAsia="Times New Roman" w:cs="Simplified Arabic"/>
          <w:sz w:val="12"/>
          <w:szCs w:val="12"/>
          <w:lang w:bidi="ar-JO"/>
        </w:rPr>
        <w:t xml:space="preserve">, (2007), </w:t>
      </w:r>
      <w:r w:rsidR="00491C2F">
        <w:rPr>
          <w:rFonts w:eastAsia="Times New Roman" w:cs="Simplified Arabic"/>
          <w:sz w:val="12"/>
          <w:szCs w:val="12"/>
          <w:lang w:bidi="ar-JO"/>
        </w:rPr>
        <w:t>(</w:t>
      </w:r>
      <w:r w:rsidR="003539C3">
        <w:rPr>
          <w:rFonts w:eastAsia="Times New Roman" w:cs="Simplified Arabic"/>
          <w:sz w:val="12"/>
          <w:szCs w:val="12"/>
          <w:lang w:bidi="ar-JO"/>
        </w:rPr>
        <w:t>2008), (2009), (2010)</w:t>
      </w:r>
      <w:r w:rsidR="002166EF">
        <w:rPr>
          <w:rFonts w:eastAsia="Times New Roman" w:cs="Simplified Arabic"/>
          <w:sz w:val="12"/>
          <w:szCs w:val="12"/>
          <w:lang w:bidi="ar-JO"/>
        </w:rPr>
        <w:t xml:space="preserve">, (2011) </w:t>
      </w:r>
      <w:r w:rsidR="003539C3">
        <w:rPr>
          <w:rFonts w:eastAsia="Times New Roman" w:cs="Simplified Arabic"/>
          <w:sz w:val="12"/>
          <w:szCs w:val="12"/>
          <w:lang w:bidi="ar-JO"/>
        </w:rPr>
        <w:t>/</w:t>
      </w:r>
      <w:r w:rsidRPr="008E4575">
        <w:rPr>
          <w:rFonts w:eastAsia="Times New Roman" w:cs="Simplified Arabic"/>
          <w:sz w:val="12"/>
          <w:szCs w:val="12"/>
          <w:lang w:bidi="ar-JO"/>
        </w:rPr>
        <w:t xml:space="preserve"> The Department of statistics.</w:t>
      </w:r>
    </w:p>
    <w:p w:rsidR="002F11FC" w:rsidRPr="002F11FC" w:rsidRDefault="002F11FC" w:rsidP="002F11FC">
      <w:pPr>
        <w:bidi w:val="0"/>
        <w:spacing w:after="0" w:line="240" w:lineRule="auto"/>
        <w:ind w:right="561"/>
        <w:rPr>
          <w:rFonts w:ascii="Calibri" w:eastAsia="Times New Roman" w:hAnsi="Calibri" w:cs="Calibri"/>
          <w:sz w:val="12"/>
          <w:szCs w:val="12"/>
        </w:rPr>
      </w:pPr>
      <w:r w:rsidRPr="002F11FC">
        <w:rPr>
          <w:rFonts w:ascii="Symbol" w:eastAsia="Times New Roman" w:hAnsi="Symbol" w:cs="Calibri"/>
          <w:sz w:val="12"/>
          <w:szCs w:val="12"/>
        </w:rPr>
        <w:t></w:t>
      </w:r>
      <w:r w:rsidRPr="002F11FC">
        <w:rPr>
          <w:rFonts w:ascii="Times New Roman" w:eastAsia="Times New Roman" w:hAnsi="Times New Roman" w:cs="Times New Roman"/>
          <w:sz w:val="12"/>
          <w:szCs w:val="12"/>
        </w:rPr>
        <w:t>  </w:t>
      </w:r>
      <w:r w:rsidRPr="008E4575">
        <w:rPr>
          <w:rFonts w:eastAsia="Times New Roman" w:cs="Simplified Arabic"/>
          <w:sz w:val="12"/>
          <w:szCs w:val="12"/>
        </w:rPr>
        <w:t>DLS/monthly reports/real estate trading and sales reports.</w:t>
      </w:r>
    </w:p>
    <w:p w:rsidR="00433542" w:rsidRDefault="002F11FC" w:rsidP="00433542">
      <w:pPr>
        <w:bidi w:val="0"/>
        <w:spacing w:after="0" w:line="240" w:lineRule="auto"/>
        <w:ind w:right="561"/>
        <w:rPr>
          <w:rFonts w:ascii="Calibri" w:eastAsia="Times New Roman" w:hAnsi="Calibri" w:cs="Calibri"/>
          <w:sz w:val="12"/>
          <w:szCs w:val="12"/>
        </w:rPr>
      </w:pPr>
      <w:r w:rsidRPr="002F11FC">
        <w:rPr>
          <w:rFonts w:ascii="Symbol" w:eastAsia="Times New Roman" w:hAnsi="Symbol" w:cs="Calibri"/>
          <w:sz w:val="12"/>
          <w:szCs w:val="12"/>
        </w:rPr>
        <w:t></w:t>
      </w:r>
      <w:r w:rsidR="00433542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2F11F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E4575">
        <w:rPr>
          <w:rFonts w:eastAsia="Times New Roman" w:cs="Simplified Arabic"/>
          <w:sz w:val="12"/>
          <w:szCs w:val="12"/>
          <w:lang w:bidi="ar-JO"/>
        </w:rPr>
        <w:t>*</w:t>
      </w:r>
      <w:r w:rsidR="003539C3">
        <w:rPr>
          <w:rFonts w:eastAsia="Times New Roman" w:cs="Simplified Arabic"/>
          <w:sz w:val="12"/>
          <w:szCs w:val="12"/>
          <w:lang w:bidi="ar-JO"/>
        </w:rPr>
        <w:t>:</w:t>
      </w:r>
      <w:r w:rsidRPr="008E4575">
        <w:rPr>
          <w:rFonts w:eastAsia="Times New Roman" w:cs="Simplified Arabic"/>
          <w:sz w:val="12"/>
          <w:szCs w:val="12"/>
          <w:lang w:bidi="ar-JO"/>
        </w:rPr>
        <w:t xml:space="preserve"> Quarterly estimates.</w:t>
      </w:r>
    </w:p>
    <w:p w:rsidR="00853B2F" w:rsidRPr="00433542" w:rsidRDefault="00433542" w:rsidP="00433542">
      <w:pPr>
        <w:bidi w:val="0"/>
        <w:spacing w:after="0" w:line="240" w:lineRule="auto"/>
        <w:ind w:right="561"/>
        <w:rPr>
          <w:rFonts w:ascii="Calibri" w:eastAsia="Times New Roman" w:hAnsi="Calibri" w:cs="Calibri"/>
          <w:sz w:val="12"/>
          <w:szCs w:val="12"/>
        </w:rPr>
      </w:pPr>
      <w:r>
        <w:rPr>
          <w:rFonts w:ascii="Calibri" w:eastAsia="Times New Roman" w:hAnsi="Calibri" w:cs="Calibri"/>
          <w:sz w:val="12"/>
          <w:szCs w:val="12"/>
        </w:rPr>
        <w:t xml:space="preserve">     </w:t>
      </w:r>
      <w:r w:rsidR="00853B2F" w:rsidRPr="00A17399">
        <w:rPr>
          <w:rFonts w:eastAsia="Times New Roman" w:cs="Simplified Arabic"/>
          <w:sz w:val="12"/>
          <w:szCs w:val="12"/>
        </w:rPr>
        <w:t>Note</w:t>
      </w:r>
      <w:r w:rsidR="00853B2F" w:rsidRPr="00575F16">
        <w:rPr>
          <w:rFonts w:eastAsia="Times New Roman" w:cs="Simplified Arabic"/>
          <w:sz w:val="12"/>
          <w:szCs w:val="12"/>
        </w:rPr>
        <w:t>:</w:t>
      </w:r>
      <w:r w:rsidR="00853B2F" w:rsidRPr="00575F16">
        <w:rPr>
          <w:rFonts w:ascii="Calibri" w:eastAsia="Times New Roman" w:hAnsi="Calibri" w:cs="Times New Roman"/>
          <w:sz w:val="12"/>
          <w:szCs w:val="12"/>
        </w:rPr>
        <w:t xml:space="preserve"> </w:t>
      </w:r>
      <w:r w:rsidR="00575F16" w:rsidRPr="00575F16">
        <w:rPr>
          <w:rFonts w:ascii="Calibri" w:eastAsia="Times New Roman" w:hAnsi="Calibri" w:cs="Times New Roman"/>
          <w:sz w:val="12"/>
          <w:szCs w:val="12"/>
        </w:rPr>
        <w:t>(</w:t>
      </w:r>
      <w:r w:rsidR="00853B2F" w:rsidRPr="00696A2D">
        <w:rPr>
          <w:rFonts w:eastAsia="Times New Roman" w:cs="Simplified Arabic"/>
          <w:sz w:val="12"/>
          <w:szCs w:val="12"/>
        </w:rPr>
        <w:t>N.A.</w:t>
      </w:r>
      <w:r w:rsidR="00575F16">
        <w:rPr>
          <w:rFonts w:ascii="Calibri" w:eastAsia="Times New Roman" w:hAnsi="Calibri" w:cs="Times New Roman"/>
          <w:sz w:val="12"/>
          <w:szCs w:val="12"/>
        </w:rPr>
        <w:t>)</w:t>
      </w:r>
      <w:r w:rsidR="00853B2F" w:rsidRPr="00696A2D">
        <w:rPr>
          <w:rFonts w:ascii="Calibri" w:eastAsia="Times New Roman" w:hAnsi="Calibri" w:cs="Times New Roman"/>
          <w:sz w:val="12"/>
          <w:szCs w:val="12"/>
        </w:rPr>
        <w:t xml:space="preserve"> means</w:t>
      </w:r>
      <w:r w:rsidR="003539C3">
        <w:rPr>
          <w:rFonts w:ascii="Calibri" w:eastAsia="Times New Roman" w:hAnsi="Calibri" w:cs="Times New Roman"/>
        </w:rPr>
        <w:t xml:space="preserve"> </w:t>
      </w:r>
      <w:r w:rsidR="003539C3" w:rsidRPr="003539C3">
        <w:rPr>
          <w:rFonts w:ascii="Calibri" w:eastAsia="Times New Roman" w:hAnsi="Calibri" w:cs="Times New Roman"/>
          <w:sz w:val="12"/>
          <w:szCs w:val="12"/>
        </w:rPr>
        <w:t>that data is</w:t>
      </w:r>
      <w:r w:rsidR="00853B2F">
        <w:rPr>
          <w:rFonts w:ascii="Calibri" w:eastAsia="Times New Roman" w:hAnsi="Calibri" w:cs="Times New Roman"/>
        </w:rPr>
        <w:t xml:space="preserve"> </w:t>
      </w:r>
      <w:r w:rsidR="00853B2F" w:rsidRPr="00696A2D">
        <w:rPr>
          <w:rFonts w:ascii="Calibri" w:eastAsia="Times New Roman" w:hAnsi="Calibri" w:cs="Times New Roman"/>
          <w:sz w:val="12"/>
          <w:szCs w:val="12"/>
        </w:rPr>
        <w:t>not available.</w:t>
      </w:r>
    </w:p>
    <w:p w:rsidR="00E97177" w:rsidRDefault="00E97177" w:rsidP="00E97177">
      <w:pPr>
        <w:bidi w:val="0"/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:rsidR="00E97177" w:rsidRPr="002F11FC" w:rsidRDefault="00E97177" w:rsidP="00E97177">
      <w:pPr>
        <w:bidi w:val="0"/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:rsidR="00941044" w:rsidRDefault="00941044" w:rsidP="00397E76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941044" w:rsidRDefault="00941044" w:rsidP="00941044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941044" w:rsidRDefault="00941044" w:rsidP="00941044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E876D1" w:rsidRDefault="00E876D1" w:rsidP="00E876D1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E876D1" w:rsidRDefault="00E876D1" w:rsidP="00E876D1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E876D1" w:rsidRDefault="00E876D1" w:rsidP="00E876D1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E876D1" w:rsidRDefault="00E876D1" w:rsidP="00E876D1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941044" w:rsidRDefault="00941044" w:rsidP="00941044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595CFC" w:rsidRDefault="00595CFC" w:rsidP="00595CFC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595CFC" w:rsidRDefault="00595CFC" w:rsidP="00595CFC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595CFC" w:rsidRDefault="00595CFC" w:rsidP="00595CFC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595CFC" w:rsidRDefault="00595CFC" w:rsidP="00595CFC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595CFC" w:rsidRDefault="00595CFC" w:rsidP="00595CFC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FC0A47" w:rsidRDefault="00FC0A47" w:rsidP="00FC0A47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4B7294" w:rsidRDefault="004B7294" w:rsidP="004B7294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4B7294" w:rsidRDefault="004B7294" w:rsidP="004B7294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4B7294" w:rsidRDefault="004B7294" w:rsidP="004B7294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FC0A47" w:rsidRDefault="00FC0A47" w:rsidP="00FC0A47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FC0A47" w:rsidRDefault="00FC0A47" w:rsidP="00FC0A47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AA2394" w:rsidRDefault="00AA2394" w:rsidP="00AA2394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941044" w:rsidRDefault="00941044" w:rsidP="00941044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941044" w:rsidRDefault="00941044" w:rsidP="00941044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941044" w:rsidRDefault="00941044" w:rsidP="00941044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941044" w:rsidRDefault="00941044" w:rsidP="00941044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941044" w:rsidRDefault="00941044" w:rsidP="00941044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941044" w:rsidRDefault="00941044" w:rsidP="00941044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941044" w:rsidRPr="00A21DDB" w:rsidRDefault="00941044" w:rsidP="00A21DDB">
      <w:pPr>
        <w:bidi w:val="0"/>
        <w:spacing w:after="0" w:line="240" w:lineRule="auto"/>
        <w:ind w:left="-1276" w:right="-619"/>
        <w:rPr>
          <w:rFonts w:eastAsia="Times New Roman" w:cs="Calibri"/>
          <w:b/>
          <w:bCs/>
        </w:rPr>
      </w:pPr>
      <w:r w:rsidRPr="00A21DDB">
        <w:rPr>
          <w:rFonts w:eastAsia="Times New Roman" w:cs="Simplified Arabic"/>
          <w:b/>
          <w:bCs/>
          <w:sz w:val="28"/>
          <w:szCs w:val="28"/>
        </w:rPr>
        <w:lastRenderedPageBreak/>
        <w:t>Housing indicators</w:t>
      </w:r>
    </w:p>
    <w:p w:rsidR="00941044" w:rsidRDefault="00941044" w:rsidP="00941044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941044" w:rsidRDefault="00941044" w:rsidP="00941044">
      <w:pPr>
        <w:bidi w:val="0"/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tbl>
      <w:tblPr>
        <w:tblpPr w:leftFromText="180" w:rightFromText="180" w:vertAnchor="text" w:horzAnchor="margin" w:tblpXSpec="center" w:tblpY="-52"/>
        <w:tblW w:w="10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4"/>
        <w:gridCol w:w="2835"/>
        <w:gridCol w:w="635"/>
        <w:gridCol w:w="924"/>
        <w:gridCol w:w="851"/>
        <w:gridCol w:w="850"/>
        <w:gridCol w:w="567"/>
        <w:gridCol w:w="709"/>
        <w:gridCol w:w="567"/>
        <w:gridCol w:w="992"/>
        <w:gridCol w:w="1134"/>
      </w:tblGrid>
      <w:tr w:rsidR="002563BD" w:rsidRPr="00941044" w:rsidTr="00552DD7">
        <w:trPr>
          <w:trHeight w:val="307"/>
        </w:trPr>
        <w:tc>
          <w:tcPr>
            <w:tcW w:w="924" w:type="dxa"/>
            <w:vMerge w:val="restart"/>
            <w:shd w:val="clear" w:color="auto" w:fill="F2F2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563BD" w:rsidRPr="00941044" w:rsidRDefault="002563BD" w:rsidP="00973454">
            <w:pPr>
              <w:bidi w:val="0"/>
              <w:spacing w:after="0" w:line="240" w:lineRule="auto"/>
              <w:ind w:left="-141" w:firstLine="141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b/>
                <w:bCs/>
              </w:rPr>
              <w:br w:type="page"/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Indicator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  <w:rtl/>
              </w:rPr>
              <w:t xml:space="preserve">  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835" w:type="dxa"/>
            <w:vMerge w:val="restart"/>
            <w:shd w:val="clear" w:color="auto" w:fill="F2F2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563BD" w:rsidRPr="00941044" w:rsidRDefault="002563BD" w:rsidP="00941044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Indicator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103" w:type="dxa"/>
            <w:gridSpan w:val="7"/>
            <w:shd w:val="clear" w:color="auto" w:fill="F2F2F2"/>
            <w:hideMark/>
          </w:tcPr>
          <w:p w:rsidR="002563BD" w:rsidRPr="00941044" w:rsidRDefault="002563BD" w:rsidP="00941044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992" w:type="dxa"/>
            <w:vMerge w:val="restart"/>
            <w:shd w:val="clear" w:color="auto" w:fill="F2F2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563BD" w:rsidRPr="00D062BC" w:rsidRDefault="002563BD" w:rsidP="005F7014">
            <w:pPr>
              <w:bidi w:val="0"/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D062BC">
              <w:rPr>
                <w:rFonts w:eastAsia="Times New Roman" w:cs="Simplified Arabic"/>
                <w:b/>
                <w:bCs/>
                <w:sz w:val="19"/>
                <w:szCs w:val="19"/>
              </w:rPr>
              <w:t>Frequency of data</w:t>
            </w:r>
            <w:r w:rsidRPr="00D062BC">
              <w:rPr>
                <w:rFonts w:eastAsia="Times New Roman" w:cs="Simplified Arabic"/>
                <w:b/>
                <w:bCs/>
                <w:sz w:val="19"/>
                <w:szCs w:val="19"/>
                <w:rtl/>
              </w:rPr>
              <w:t xml:space="preserve"> </w:t>
            </w:r>
            <w:r w:rsidRPr="00D062BC">
              <w:rPr>
                <w:rFonts w:eastAsia="Times New Roman" w:cs="Simplified Arabic"/>
                <w:b/>
                <w:bCs/>
                <w:sz w:val="19"/>
                <w:szCs w:val="19"/>
              </w:rPr>
              <w:t>collection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  <w:hideMark/>
          </w:tcPr>
          <w:p w:rsidR="002563BD" w:rsidRPr="00D062BC" w:rsidRDefault="002563BD" w:rsidP="004C0078">
            <w:pPr>
              <w:bidi w:val="0"/>
              <w:spacing w:after="0" w:line="240" w:lineRule="auto"/>
              <w:ind w:left="69" w:hanging="69"/>
              <w:jc w:val="center"/>
              <w:rPr>
                <w:rFonts w:eastAsia="Times New Roman" w:cs="Calibri"/>
                <w:sz w:val="19"/>
                <w:szCs w:val="19"/>
              </w:rPr>
            </w:pPr>
            <w:r>
              <w:rPr>
                <w:rFonts w:eastAsia="Times New Roman" w:cs="Simplified Arabic"/>
                <w:b/>
                <w:bCs/>
                <w:sz w:val="19"/>
                <w:szCs w:val="19"/>
              </w:rPr>
              <w:t>Notes</w:t>
            </w:r>
          </w:p>
        </w:tc>
      </w:tr>
      <w:tr w:rsidR="002563BD" w:rsidRPr="00941044" w:rsidTr="002563BD">
        <w:trPr>
          <w:trHeight w:val="552"/>
        </w:trPr>
        <w:tc>
          <w:tcPr>
            <w:tcW w:w="924" w:type="dxa"/>
            <w:vMerge/>
            <w:vAlign w:val="center"/>
            <w:hideMark/>
          </w:tcPr>
          <w:p w:rsidR="002563BD" w:rsidRPr="00941044" w:rsidRDefault="002563BD" w:rsidP="002563BD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563BD" w:rsidRPr="00941044" w:rsidRDefault="002563BD" w:rsidP="002563BD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635" w:type="dxa"/>
            <w:shd w:val="clear" w:color="auto" w:fill="F2F2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563BD" w:rsidRPr="00941044" w:rsidRDefault="002563BD" w:rsidP="002563BD">
            <w:pPr>
              <w:bidi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924" w:type="dxa"/>
            <w:shd w:val="clear" w:color="auto" w:fill="F2F2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563BD" w:rsidRPr="00941044" w:rsidRDefault="002563BD" w:rsidP="002563BD">
            <w:pPr>
              <w:bidi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  <w:lang w:bidi="ar-JO"/>
              </w:rPr>
              <w:t>2006</w:t>
            </w:r>
          </w:p>
        </w:tc>
        <w:tc>
          <w:tcPr>
            <w:tcW w:w="851" w:type="dxa"/>
            <w:shd w:val="clear" w:color="auto" w:fill="F2F2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563BD" w:rsidRPr="00941044" w:rsidRDefault="002563BD" w:rsidP="002563BD">
            <w:pPr>
              <w:bidi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850" w:type="dxa"/>
            <w:shd w:val="clear" w:color="auto" w:fill="F2F2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563BD" w:rsidRPr="00941044" w:rsidRDefault="002563BD" w:rsidP="002563BD">
            <w:pPr>
              <w:bidi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2563BD" w:rsidRPr="00941044" w:rsidRDefault="002563BD" w:rsidP="002563BD">
            <w:pPr>
              <w:bidi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09" w:type="dxa"/>
            <w:shd w:val="clear" w:color="auto" w:fill="F2F2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563BD" w:rsidRPr="00941044" w:rsidRDefault="002563BD" w:rsidP="002563BD">
            <w:pPr>
              <w:bidi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41044">
              <w:rPr>
                <w:rFonts w:eastAsia="Times New Roman" w:cs="Simplified Arabic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2563BD" w:rsidRPr="002563BD" w:rsidRDefault="002563BD" w:rsidP="002563BD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563BD">
              <w:rPr>
                <w:rFonts w:eastAsia="Times New Roman" w:cs="Calibr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92" w:type="dxa"/>
            <w:vMerge/>
            <w:vAlign w:val="center"/>
            <w:hideMark/>
          </w:tcPr>
          <w:p w:rsidR="002563BD" w:rsidRPr="00941044" w:rsidRDefault="002563BD" w:rsidP="002563BD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563BD" w:rsidRPr="00941044" w:rsidRDefault="002563BD" w:rsidP="002563BD">
            <w:pPr>
              <w:bidi w:val="0"/>
              <w:rPr>
                <w:rFonts w:eastAsia="Times New Roman" w:cs="Calibri"/>
              </w:rPr>
            </w:pPr>
          </w:p>
        </w:tc>
      </w:tr>
      <w:tr w:rsidR="002563BD" w:rsidRPr="00941044" w:rsidTr="002563BD">
        <w:trPr>
          <w:trHeight w:val="227"/>
        </w:trPr>
        <w:tc>
          <w:tcPr>
            <w:tcW w:w="924" w:type="dxa"/>
            <w:vMerge w:val="restart"/>
            <w:shd w:val="clear" w:color="auto" w:fill="F2F2F2"/>
            <w:tcMar>
              <w:top w:w="32" w:type="dxa"/>
              <w:left w:w="73" w:type="dxa"/>
              <w:bottom w:w="0" w:type="dxa"/>
              <w:right w:w="73" w:type="dxa"/>
            </w:tcMar>
            <w:textDirection w:val="btLr"/>
            <w:vAlign w:val="center"/>
            <w:hideMark/>
          </w:tcPr>
          <w:p w:rsidR="002563BD" w:rsidRPr="00E876D1" w:rsidRDefault="002563BD" w:rsidP="002563BD">
            <w:pPr>
              <w:bidi w:val="0"/>
              <w:spacing w:after="0" w:line="240" w:lineRule="auto"/>
              <w:ind w:left="113" w:right="113"/>
              <w:jc w:val="center"/>
              <w:rPr>
                <w:rFonts w:eastAsia="Times New Roman" w:cs="Calibri"/>
              </w:rPr>
            </w:pPr>
            <w:r w:rsidRPr="00E876D1">
              <w:rPr>
                <w:rFonts w:eastAsia="Times New Roman" w:cs="Simplified Arabic"/>
                <w:b/>
                <w:bCs/>
                <w:sz w:val="20"/>
                <w:szCs w:val="20"/>
              </w:rPr>
              <w:t>Adequacy of housing and repayment capacity</w:t>
            </w:r>
          </w:p>
        </w:tc>
        <w:tc>
          <w:tcPr>
            <w:tcW w:w="2835" w:type="dxa"/>
            <w:shd w:val="clear" w:color="auto" w:fill="FF0000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563BD" w:rsidRPr="001A09E9" w:rsidRDefault="002563BD" w:rsidP="002563BD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E876D1">
              <w:rPr>
                <w:rFonts w:eastAsia="Times New Roman" w:cs="Simplified Arabic"/>
                <w:b/>
                <w:bCs/>
                <w:sz w:val="17"/>
                <w:szCs w:val="17"/>
              </w:rPr>
              <w:t>Price</w:t>
            </w:r>
            <w:r>
              <w:rPr>
                <w:rFonts w:eastAsia="Times New Roman" w:cs="Simplified Arabic"/>
                <w:b/>
                <w:bCs/>
                <w:sz w:val="17"/>
                <w:szCs w:val="17"/>
              </w:rPr>
              <w:t xml:space="preserve"> </w:t>
            </w:r>
            <w:r w:rsidRPr="00E876D1">
              <w:rPr>
                <w:rFonts w:eastAsia="Times New Roman" w:cs="Simplified Arabic"/>
                <w:b/>
                <w:bCs/>
                <w:sz w:val="17"/>
                <w:szCs w:val="17"/>
              </w:rPr>
              <w:t xml:space="preserve"> indicators</w:t>
            </w:r>
            <w:r w:rsidRPr="00E876D1">
              <w:rPr>
                <w:rFonts w:eastAsia="Times New Roman" w:cs="Calibri"/>
                <w:b/>
                <w:bCs/>
              </w:rPr>
              <w:t xml:space="preserve"> </w:t>
            </w:r>
          </w:p>
        </w:tc>
        <w:tc>
          <w:tcPr>
            <w:tcW w:w="635" w:type="dxa"/>
            <w:shd w:val="clear" w:color="auto" w:fill="FF0000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563BD" w:rsidRPr="00941044" w:rsidRDefault="002563BD" w:rsidP="002563BD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4" w:type="dxa"/>
            <w:shd w:val="clear" w:color="auto" w:fill="FF0000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563BD" w:rsidRPr="00941044" w:rsidRDefault="002563BD" w:rsidP="002563BD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0000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563BD" w:rsidRPr="00941044" w:rsidRDefault="002563BD" w:rsidP="002563BD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0000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563BD" w:rsidRPr="00941044" w:rsidRDefault="002563BD" w:rsidP="002563BD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FF0000"/>
            <w:vAlign w:val="center"/>
            <w:hideMark/>
          </w:tcPr>
          <w:p w:rsidR="002563BD" w:rsidRPr="00941044" w:rsidRDefault="002563BD" w:rsidP="002563BD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0000"/>
            <w:tcMar>
              <w:top w:w="32" w:type="dxa"/>
              <w:left w:w="73" w:type="dxa"/>
              <w:bottom w:w="0" w:type="dxa"/>
              <w:right w:w="73" w:type="dxa"/>
            </w:tcMar>
            <w:hideMark/>
          </w:tcPr>
          <w:p w:rsidR="002563BD" w:rsidRPr="00941044" w:rsidRDefault="002563BD" w:rsidP="002563BD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0000"/>
            <w:vAlign w:val="center"/>
            <w:hideMark/>
          </w:tcPr>
          <w:p w:rsidR="002563BD" w:rsidRPr="00941044" w:rsidRDefault="002563BD" w:rsidP="002563BD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92" w:type="dxa"/>
            <w:shd w:val="clear" w:color="auto" w:fill="FF0000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563BD" w:rsidRPr="00941044" w:rsidRDefault="002563BD" w:rsidP="002563BD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0000"/>
            <w:hideMark/>
          </w:tcPr>
          <w:p w:rsidR="002563BD" w:rsidRPr="00941044" w:rsidRDefault="002563BD" w:rsidP="002563BD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6D41F5" w:rsidRPr="00941044" w:rsidTr="002563BD">
        <w:trPr>
          <w:trHeight w:val="322"/>
        </w:trPr>
        <w:tc>
          <w:tcPr>
            <w:tcW w:w="924" w:type="dxa"/>
            <w:vMerge/>
            <w:vAlign w:val="center"/>
            <w:hideMark/>
          </w:tcPr>
          <w:p w:rsidR="006D41F5" w:rsidRPr="00941044" w:rsidRDefault="006D41F5" w:rsidP="006D41F5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E71751" w:rsidRDefault="006D41F5" w:rsidP="006D41F5">
            <w:pPr>
              <w:bidi w:val="0"/>
              <w:spacing w:after="0" w:line="240" w:lineRule="auto"/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</w:pPr>
            <w:r w:rsidRPr="00E71751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House price to income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 xml:space="preserve"> ratio.</w:t>
            </w:r>
            <w:r w:rsidRPr="00E71751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 xml:space="preserve"> </w:t>
            </w:r>
          </w:p>
        </w:tc>
        <w:tc>
          <w:tcPr>
            <w:tcW w:w="635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8.1</w:t>
            </w:r>
          </w:p>
        </w:tc>
        <w:tc>
          <w:tcPr>
            <w:tcW w:w="924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74701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8.1</w:t>
            </w:r>
            <w:r w:rsidRPr="00941044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(</w:t>
            </w: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200</w:t>
            </w:r>
            <w:r w:rsidR="00674701">
              <w:rPr>
                <w:rFonts w:eastAsia="Times New Roman" w:cs="Simplified Arabic"/>
                <w:sz w:val="16"/>
                <w:szCs w:val="16"/>
                <w:lang w:bidi="ar-JO"/>
              </w:rPr>
              <w:t>4</w:t>
            </w:r>
            <w:r w:rsidRPr="00941044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 xml:space="preserve">) </w:t>
            </w:r>
          </w:p>
        </w:tc>
        <w:tc>
          <w:tcPr>
            <w:tcW w:w="851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7.9</w:t>
            </w:r>
          </w:p>
        </w:tc>
        <w:tc>
          <w:tcPr>
            <w:tcW w:w="850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6.8</w:t>
            </w:r>
          </w:p>
        </w:tc>
        <w:tc>
          <w:tcPr>
            <w:tcW w:w="567" w:type="dxa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  -</w:t>
            </w:r>
          </w:p>
        </w:tc>
        <w:tc>
          <w:tcPr>
            <w:tcW w:w="709" w:type="dxa"/>
            <w:tcMar>
              <w:top w:w="32" w:type="dxa"/>
              <w:left w:w="73" w:type="dxa"/>
              <w:bottom w:w="0" w:type="dxa"/>
              <w:right w:w="73" w:type="dxa"/>
            </w:tcMar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  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Every two years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6D41F5" w:rsidRPr="00941044" w:rsidTr="002563BD">
        <w:trPr>
          <w:trHeight w:val="310"/>
        </w:trPr>
        <w:tc>
          <w:tcPr>
            <w:tcW w:w="924" w:type="dxa"/>
            <w:vMerge/>
            <w:vAlign w:val="center"/>
            <w:hideMark/>
          </w:tcPr>
          <w:p w:rsidR="006D41F5" w:rsidRPr="00941044" w:rsidRDefault="006D41F5" w:rsidP="006D41F5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1A09E9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E71751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 xml:space="preserve">House 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rent</w:t>
            </w:r>
            <w:r w:rsidRPr="00E71751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 xml:space="preserve"> to income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 xml:space="preserve"> ratio.</w:t>
            </w:r>
          </w:p>
        </w:tc>
        <w:tc>
          <w:tcPr>
            <w:tcW w:w="635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18.8</w:t>
            </w:r>
          </w:p>
        </w:tc>
        <w:tc>
          <w:tcPr>
            <w:tcW w:w="924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20.7</w:t>
            </w:r>
          </w:p>
        </w:tc>
        <w:tc>
          <w:tcPr>
            <w:tcW w:w="851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19.7</w:t>
            </w:r>
          </w:p>
        </w:tc>
        <w:tc>
          <w:tcPr>
            <w:tcW w:w="850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22.2</w:t>
            </w:r>
          </w:p>
        </w:tc>
        <w:tc>
          <w:tcPr>
            <w:tcW w:w="567" w:type="dxa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709" w:type="dxa"/>
            <w:tcMar>
              <w:top w:w="32" w:type="dxa"/>
              <w:left w:w="73" w:type="dxa"/>
              <w:bottom w:w="0" w:type="dxa"/>
              <w:right w:w="73" w:type="dxa"/>
            </w:tcMar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 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Every two years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6D41F5" w:rsidRPr="00941044" w:rsidTr="002563BD">
        <w:trPr>
          <w:trHeight w:val="227"/>
        </w:trPr>
        <w:tc>
          <w:tcPr>
            <w:tcW w:w="924" w:type="dxa"/>
            <w:vMerge/>
            <w:vAlign w:val="center"/>
            <w:hideMark/>
          </w:tcPr>
          <w:p w:rsidR="006D41F5" w:rsidRPr="00941044" w:rsidRDefault="006D41F5" w:rsidP="006D41F5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2835" w:type="dxa"/>
            <w:shd w:val="clear" w:color="auto" w:fill="00E668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1A09E9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DF17D6">
              <w:rPr>
                <w:rFonts w:eastAsia="Times New Roman" w:cs="Simplified Arabic"/>
                <w:b/>
                <w:bCs/>
                <w:sz w:val="17"/>
                <w:szCs w:val="17"/>
              </w:rPr>
              <w:t xml:space="preserve">Indicators </w:t>
            </w:r>
            <w:r>
              <w:rPr>
                <w:rFonts w:eastAsia="Times New Roman" w:cs="Simplified Arabic"/>
                <w:b/>
                <w:bCs/>
                <w:sz w:val="17"/>
                <w:szCs w:val="17"/>
              </w:rPr>
              <w:t xml:space="preserve"> </w:t>
            </w:r>
            <w:r w:rsidRPr="00DF17D6">
              <w:rPr>
                <w:rFonts w:eastAsia="Times New Roman" w:cs="Simplified Arabic"/>
                <w:b/>
                <w:bCs/>
                <w:sz w:val="17"/>
                <w:szCs w:val="17"/>
              </w:rPr>
              <w:t>of</w:t>
            </w:r>
            <w:r>
              <w:rPr>
                <w:rFonts w:eastAsia="Times New Roman" w:cs="Simplified Arabic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eastAsia="Times New Roman" w:cs="Simplified Arabic"/>
                <w:b/>
                <w:bCs/>
                <w:sz w:val="17"/>
                <w:szCs w:val="17"/>
                <w:lang w:bidi="ar-JO"/>
              </w:rPr>
              <w:t xml:space="preserve"> </w:t>
            </w:r>
            <w:r>
              <w:rPr>
                <w:rFonts w:eastAsia="Times New Roman" w:cs="Simplified Arabic"/>
                <w:b/>
                <w:bCs/>
                <w:sz w:val="17"/>
                <w:szCs w:val="17"/>
              </w:rPr>
              <w:t>quality</w:t>
            </w:r>
            <w:r w:rsidRPr="00DF17D6">
              <w:rPr>
                <w:rFonts w:eastAsia="Times New Roman" w:cs="Calibri"/>
                <w:b/>
                <w:bCs/>
              </w:rPr>
              <w:t xml:space="preserve"> </w:t>
            </w:r>
          </w:p>
        </w:tc>
        <w:tc>
          <w:tcPr>
            <w:tcW w:w="635" w:type="dxa"/>
            <w:shd w:val="clear" w:color="auto" w:fill="00E668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4" w:type="dxa"/>
            <w:shd w:val="clear" w:color="auto" w:fill="00E668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00E668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00E668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00E668"/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00E668"/>
            <w:tcMar>
              <w:top w:w="32" w:type="dxa"/>
              <w:left w:w="73" w:type="dxa"/>
              <w:bottom w:w="0" w:type="dxa"/>
              <w:right w:w="73" w:type="dxa"/>
            </w:tcMar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00E668"/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00E668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00E668"/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6D41F5" w:rsidRPr="00941044" w:rsidTr="002563BD">
        <w:trPr>
          <w:trHeight w:val="454"/>
        </w:trPr>
        <w:tc>
          <w:tcPr>
            <w:tcW w:w="924" w:type="dxa"/>
            <w:vMerge/>
            <w:vAlign w:val="center"/>
            <w:hideMark/>
          </w:tcPr>
          <w:p w:rsidR="006D41F5" w:rsidRPr="00941044" w:rsidRDefault="006D41F5" w:rsidP="006D41F5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1A09E9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Floor area per person.</w:t>
            </w:r>
            <w:r w:rsidRPr="001A09E9">
              <w:rPr>
                <w:rStyle w:val="FootnoteReference"/>
                <w:rFonts w:eastAsia="Times New Roman" w:cs="Calibri"/>
              </w:rPr>
              <w:footnoteReference w:id="24"/>
            </w:r>
          </w:p>
        </w:tc>
        <w:tc>
          <w:tcPr>
            <w:tcW w:w="635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21.1</w:t>
            </w:r>
          </w:p>
        </w:tc>
        <w:tc>
          <w:tcPr>
            <w:tcW w:w="924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20.4</w:t>
            </w:r>
          </w:p>
        </w:tc>
        <w:tc>
          <w:tcPr>
            <w:tcW w:w="851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20.4</w:t>
            </w:r>
          </w:p>
        </w:tc>
        <w:tc>
          <w:tcPr>
            <w:tcW w:w="850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22.2</w:t>
            </w:r>
          </w:p>
        </w:tc>
        <w:tc>
          <w:tcPr>
            <w:tcW w:w="567" w:type="dxa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 xml:space="preserve">  - </w:t>
            </w:r>
          </w:p>
        </w:tc>
        <w:tc>
          <w:tcPr>
            <w:tcW w:w="709" w:type="dxa"/>
            <w:tcMar>
              <w:top w:w="32" w:type="dxa"/>
              <w:left w:w="73" w:type="dxa"/>
              <w:bottom w:w="0" w:type="dxa"/>
              <w:right w:w="73" w:type="dxa"/>
            </w:tcMar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 xml:space="preserve">  - 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Every two years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6D41F5" w:rsidRPr="00941044" w:rsidTr="002563BD">
        <w:trPr>
          <w:trHeight w:val="227"/>
        </w:trPr>
        <w:tc>
          <w:tcPr>
            <w:tcW w:w="924" w:type="dxa"/>
            <w:vMerge w:val="restart"/>
            <w:shd w:val="clear" w:color="auto" w:fill="F2F2F2"/>
            <w:tcMar>
              <w:top w:w="32" w:type="dxa"/>
              <w:left w:w="73" w:type="dxa"/>
              <w:bottom w:w="0" w:type="dxa"/>
              <w:right w:w="73" w:type="dxa"/>
            </w:tcMar>
            <w:textDirection w:val="btLr"/>
            <w:vAlign w:val="center"/>
            <w:hideMark/>
          </w:tcPr>
          <w:p w:rsidR="006D41F5" w:rsidRPr="004F286B" w:rsidRDefault="006D41F5" w:rsidP="006D41F5">
            <w:pPr>
              <w:bidi w:val="0"/>
              <w:spacing w:after="0" w:line="240" w:lineRule="auto"/>
              <w:ind w:left="113" w:right="113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b/>
                <w:bCs/>
                <w:sz w:val="20"/>
                <w:szCs w:val="20"/>
              </w:rPr>
              <w:t>Supply of housing</w:t>
            </w:r>
          </w:p>
        </w:tc>
        <w:tc>
          <w:tcPr>
            <w:tcW w:w="2835" w:type="dxa"/>
            <w:shd w:val="clear" w:color="auto" w:fill="FABF8F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1A09E9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0B179D">
              <w:rPr>
                <w:rFonts w:eastAsia="Times New Roman" w:cs="Simplified Arabic"/>
                <w:b/>
                <w:bCs/>
                <w:sz w:val="17"/>
                <w:szCs w:val="17"/>
              </w:rPr>
              <w:t>Quantitative</w:t>
            </w:r>
            <w:r>
              <w:rPr>
                <w:rFonts w:eastAsia="Times New Roman" w:cs="Simplified Arabic"/>
                <w:b/>
                <w:bCs/>
                <w:sz w:val="17"/>
                <w:szCs w:val="17"/>
              </w:rPr>
              <w:t xml:space="preserve"> </w:t>
            </w:r>
            <w:r w:rsidRPr="000B179D">
              <w:rPr>
                <w:rFonts w:eastAsia="Times New Roman" w:cs="Simplified Arabic"/>
                <w:b/>
                <w:bCs/>
                <w:sz w:val="17"/>
                <w:szCs w:val="17"/>
              </w:rPr>
              <w:t xml:space="preserve"> indicators</w:t>
            </w:r>
            <w:r w:rsidRPr="000B179D">
              <w:rPr>
                <w:rFonts w:eastAsia="Times New Roman" w:cs="Calibri"/>
                <w:b/>
                <w:bCs/>
              </w:rPr>
              <w:t xml:space="preserve"> </w:t>
            </w:r>
          </w:p>
        </w:tc>
        <w:tc>
          <w:tcPr>
            <w:tcW w:w="635" w:type="dxa"/>
            <w:shd w:val="clear" w:color="auto" w:fill="FABF8F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4" w:type="dxa"/>
            <w:shd w:val="clear" w:color="auto" w:fill="FABF8F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ABF8F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ABF8F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ABF8F"/>
            <w:tcMar>
              <w:top w:w="32" w:type="dxa"/>
              <w:left w:w="73" w:type="dxa"/>
              <w:bottom w:w="0" w:type="dxa"/>
              <w:right w:w="73" w:type="dxa"/>
            </w:tcMar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ABF8F"/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92" w:type="dxa"/>
            <w:shd w:val="clear" w:color="auto" w:fill="FABF8F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ABF8F"/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6D41F5" w:rsidRPr="00941044" w:rsidTr="00DB2C83">
        <w:trPr>
          <w:trHeight w:val="526"/>
        </w:trPr>
        <w:tc>
          <w:tcPr>
            <w:tcW w:w="924" w:type="dxa"/>
            <w:vMerge/>
            <w:vAlign w:val="center"/>
            <w:hideMark/>
          </w:tcPr>
          <w:p w:rsidR="006D41F5" w:rsidRPr="00941044" w:rsidRDefault="006D41F5" w:rsidP="006D41F5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1A09E9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Housing production / 1000 population (in terms of the number of housing units completed)</w:t>
            </w:r>
            <w:r w:rsidRPr="00813F55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.</w:t>
            </w:r>
            <w:r w:rsidRPr="00813F55">
              <w:rPr>
                <w:rStyle w:val="FootnoteReference"/>
                <w:rFonts w:eastAsia="Times New Roman" w:cs="Calibri"/>
              </w:rPr>
              <w:footnoteReference w:id="25"/>
            </w:r>
            <w:r w:rsidRPr="00813F55">
              <w:rPr>
                <w:rFonts w:eastAsia="Times New Roman" w:cs="Calibri"/>
              </w:rPr>
              <w:t xml:space="preserve"> </w:t>
            </w:r>
          </w:p>
        </w:tc>
        <w:tc>
          <w:tcPr>
            <w:tcW w:w="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6</w:t>
            </w:r>
          </w:p>
        </w:tc>
        <w:tc>
          <w:tcPr>
            <w:tcW w:w="924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5.2</w:t>
            </w:r>
          </w:p>
        </w:tc>
        <w:tc>
          <w:tcPr>
            <w:tcW w:w="851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4.8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1F5" w:rsidRPr="006E17AF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E17AF">
              <w:rPr>
                <w:rFonts w:eastAsia="Times New Roman" w:cs="Calibri"/>
                <w:sz w:val="16"/>
                <w:szCs w:val="16"/>
              </w:rPr>
              <w:t>5.1</w:t>
            </w:r>
          </w:p>
        </w:tc>
        <w:tc>
          <w:tcPr>
            <w:tcW w:w="567" w:type="dxa"/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4.1</w:t>
            </w:r>
          </w:p>
        </w:tc>
        <w:tc>
          <w:tcPr>
            <w:tcW w:w="709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DB2C83" w:rsidRDefault="006D41F5" w:rsidP="00DB2C83">
            <w:pPr>
              <w:bidi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 </w:t>
            </w:r>
            <w:r w:rsidR="00DB2C83" w:rsidRPr="00DB2C83">
              <w:rPr>
                <w:rFonts w:eastAsia="Times New Roman" w:cs="Calibri"/>
                <w:sz w:val="16"/>
                <w:szCs w:val="16"/>
                <w:highlight w:val="yellow"/>
              </w:rPr>
              <w:t>5.8</w:t>
            </w:r>
          </w:p>
        </w:tc>
        <w:tc>
          <w:tcPr>
            <w:tcW w:w="567" w:type="dxa"/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6D41F5" w:rsidRPr="00941044" w:rsidTr="002563BD">
        <w:trPr>
          <w:trHeight w:val="524"/>
        </w:trPr>
        <w:tc>
          <w:tcPr>
            <w:tcW w:w="924" w:type="dxa"/>
            <w:vMerge/>
            <w:vAlign w:val="center"/>
            <w:hideMark/>
          </w:tcPr>
          <w:p w:rsidR="006D41F5" w:rsidRPr="00941044" w:rsidRDefault="006D41F5" w:rsidP="006D41F5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1A09E9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Housing</w:t>
            </w:r>
            <w:r w:rsidRPr="00813F55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investment (in terms of real estate market size)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813F55">
              <w:rPr>
                <w:rFonts w:eastAsia="Times New Roman" w:cs="Calibri"/>
                <w:b/>
                <w:bCs/>
              </w:rPr>
              <w:t xml:space="preserve"> </w:t>
            </w:r>
          </w:p>
        </w:tc>
        <w:tc>
          <w:tcPr>
            <w:tcW w:w="635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24.7</w:t>
            </w:r>
          </w:p>
        </w:tc>
        <w:tc>
          <w:tcPr>
            <w:tcW w:w="924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49.4</w:t>
            </w:r>
          </w:p>
        </w:tc>
        <w:tc>
          <w:tcPr>
            <w:tcW w:w="851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39.7</w:t>
            </w:r>
          </w:p>
        </w:tc>
        <w:tc>
          <w:tcPr>
            <w:tcW w:w="850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31.9</w:t>
            </w:r>
          </w:p>
        </w:tc>
        <w:tc>
          <w:tcPr>
            <w:tcW w:w="567" w:type="dxa"/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30.7</w:t>
            </w:r>
          </w:p>
        </w:tc>
        <w:tc>
          <w:tcPr>
            <w:tcW w:w="709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25.1</w:t>
            </w:r>
          </w:p>
        </w:tc>
        <w:tc>
          <w:tcPr>
            <w:tcW w:w="567" w:type="dxa"/>
            <w:vAlign w:val="center"/>
            <w:hideMark/>
          </w:tcPr>
          <w:p w:rsidR="006D41F5" w:rsidRPr="00941044" w:rsidRDefault="0070476E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sz w:val="16"/>
                <w:szCs w:val="16"/>
              </w:rPr>
              <w:t>27.5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Quarterly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6D41F5" w:rsidRPr="00941044" w:rsidTr="002563BD">
        <w:trPr>
          <w:trHeight w:val="227"/>
        </w:trPr>
        <w:tc>
          <w:tcPr>
            <w:tcW w:w="924" w:type="dxa"/>
            <w:vMerge/>
            <w:vAlign w:val="center"/>
            <w:hideMark/>
          </w:tcPr>
          <w:p w:rsidR="006D41F5" w:rsidRPr="00941044" w:rsidRDefault="006D41F5" w:rsidP="006D41F5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2835" w:type="dxa"/>
            <w:shd w:val="clear" w:color="auto" w:fill="92CDDC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1A09E9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9D49A5">
              <w:rPr>
                <w:rFonts w:eastAsia="Times New Roman" w:cs="Simplified Arabic"/>
                <w:b/>
                <w:bCs/>
                <w:sz w:val="17"/>
                <w:szCs w:val="17"/>
              </w:rPr>
              <w:t>Housing demand</w:t>
            </w:r>
            <w:r>
              <w:rPr>
                <w:rFonts w:eastAsia="Times New Roman" w:cs="Simplified Arabic"/>
                <w:b/>
                <w:bCs/>
                <w:sz w:val="17"/>
                <w:szCs w:val="17"/>
              </w:rPr>
              <w:t xml:space="preserve"> </w:t>
            </w:r>
            <w:r w:rsidRPr="009D49A5">
              <w:rPr>
                <w:rFonts w:eastAsia="Times New Roman" w:cs="Simplified Arabic"/>
                <w:b/>
                <w:bCs/>
                <w:sz w:val="17"/>
                <w:szCs w:val="17"/>
              </w:rPr>
              <w:t xml:space="preserve"> indicators</w:t>
            </w:r>
            <w:r w:rsidRPr="009D49A5">
              <w:rPr>
                <w:rFonts w:eastAsia="Times New Roman" w:cs="Calibri"/>
                <w:b/>
                <w:bCs/>
              </w:rPr>
              <w:t xml:space="preserve"> </w:t>
            </w:r>
          </w:p>
        </w:tc>
        <w:tc>
          <w:tcPr>
            <w:tcW w:w="635" w:type="dxa"/>
            <w:shd w:val="clear" w:color="auto" w:fill="92CDDC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4" w:type="dxa"/>
            <w:shd w:val="clear" w:color="auto" w:fill="92CDDC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92CDDC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92CDDC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92CDDC"/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92CDDC"/>
            <w:tcMar>
              <w:top w:w="32" w:type="dxa"/>
              <w:left w:w="73" w:type="dxa"/>
              <w:bottom w:w="0" w:type="dxa"/>
              <w:right w:w="73" w:type="dxa"/>
            </w:tcMar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92CDDC"/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92" w:type="dxa"/>
            <w:shd w:val="clear" w:color="auto" w:fill="92CDDC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6D41F5" w:rsidRPr="00941044" w:rsidRDefault="006D41F5" w:rsidP="006D41F5">
            <w:pPr>
              <w:bidi w:val="0"/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92CDDC"/>
            <w:vAlign w:val="center"/>
            <w:hideMark/>
          </w:tcPr>
          <w:p w:rsidR="006D41F5" w:rsidRPr="00941044" w:rsidRDefault="006D41F5" w:rsidP="006D41F5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516DEE" w:rsidRPr="00941044" w:rsidTr="002563BD">
        <w:trPr>
          <w:trHeight w:val="962"/>
        </w:trPr>
        <w:tc>
          <w:tcPr>
            <w:tcW w:w="924" w:type="dxa"/>
            <w:vMerge/>
            <w:vAlign w:val="center"/>
            <w:hideMark/>
          </w:tcPr>
          <w:p w:rsidR="00516DEE" w:rsidRPr="00941044" w:rsidRDefault="00516DEE" w:rsidP="00516DEE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516DEE" w:rsidRPr="000709D6" w:rsidRDefault="00516DEE" w:rsidP="00516DEE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0709D6">
              <w:rPr>
                <w:rFonts w:eastAsia="Times New Roman" w:cs="Simplified Arabic"/>
                <w:b/>
                <w:bCs/>
                <w:sz w:val="16"/>
                <w:szCs w:val="16"/>
              </w:rPr>
              <w:t>The ratio of housing loans</w:t>
            </w:r>
            <w:r w:rsidRPr="000709D6">
              <w:rPr>
                <w:rFonts w:eastAsia="Times New Roman" w:cs="Calibri"/>
                <w:b/>
                <w:bCs/>
              </w:rPr>
              <w:t xml:space="preserve"> </w:t>
            </w:r>
            <w:r w:rsidRPr="000709D6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(Construction)</w:t>
            </w:r>
            <w:r w:rsidRPr="000709D6">
              <w:rPr>
                <w:rFonts w:eastAsia="Times New Roman" w:cs="Calibri"/>
                <w:b/>
                <w:bCs/>
              </w:rPr>
              <w:t xml:space="preserve"> 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extended</w:t>
            </w:r>
            <w:r w:rsidRPr="000709D6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by licensed banks to total credit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709D6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facilities 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extended</w:t>
            </w:r>
            <w:proofErr w:type="gramEnd"/>
            <w:r w:rsidRPr="000709D6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</w:t>
            </w:r>
            <w:r w:rsidRPr="000709D6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 for the construction sector.</w:t>
            </w:r>
            <w:r w:rsidRPr="000709D6">
              <w:rPr>
                <w:rStyle w:val="FootnoteReference"/>
                <w:rFonts w:eastAsia="Times New Roman" w:cs="Calibri"/>
              </w:rPr>
              <w:footnoteReference w:id="26"/>
            </w:r>
            <w:r w:rsidRPr="000709D6">
              <w:rPr>
                <w:rFonts w:eastAsia="Times New Roman" w:cs="Calibri"/>
              </w:rPr>
              <w:t xml:space="preserve"> </w:t>
            </w:r>
          </w:p>
        </w:tc>
        <w:tc>
          <w:tcPr>
            <w:tcW w:w="635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516DEE" w:rsidRPr="00941044" w:rsidRDefault="00516DEE" w:rsidP="00516DEE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19.8</w:t>
            </w:r>
          </w:p>
        </w:tc>
        <w:tc>
          <w:tcPr>
            <w:tcW w:w="924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516DEE" w:rsidRPr="00941044" w:rsidRDefault="00516DEE" w:rsidP="00516DEE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32.2</w:t>
            </w:r>
          </w:p>
        </w:tc>
        <w:tc>
          <w:tcPr>
            <w:tcW w:w="851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516DEE" w:rsidRPr="00941044" w:rsidRDefault="00516DEE" w:rsidP="00516DEE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22.2</w:t>
            </w:r>
          </w:p>
        </w:tc>
        <w:tc>
          <w:tcPr>
            <w:tcW w:w="850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516DEE" w:rsidRPr="00941044" w:rsidRDefault="00516DEE" w:rsidP="00516DEE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41.8</w:t>
            </w:r>
          </w:p>
        </w:tc>
        <w:tc>
          <w:tcPr>
            <w:tcW w:w="567" w:type="dxa"/>
            <w:vAlign w:val="center"/>
            <w:hideMark/>
          </w:tcPr>
          <w:p w:rsidR="00516DEE" w:rsidRPr="00941044" w:rsidRDefault="00516DEE" w:rsidP="00516DEE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  <w:lang w:bidi="ar-JO"/>
              </w:rPr>
              <w:t>41.4</w:t>
            </w:r>
          </w:p>
        </w:tc>
        <w:tc>
          <w:tcPr>
            <w:tcW w:w="709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516DEE" w:rsidRPr="00941044" w:rsidRDefault="00516DEE" w:rsidP="00516DEE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  <w:lang w:bidi="ar-JO"/>
              </w:rPr>
              <w:t>47.8</w:t>
            </w:r>
          </w:p>
        </w:tc>
        <w:tc>
          <w:tcPr>
            <w:tcW w:w="567" w:type="dxa"/>
            <w:vAlign w:val="center"/>
            <w:hideMark/>
          </w:tcPr>
          <w:p w:rsidR="00516DEE" w:rsidRPr="00941044" w:rsidRDefault="00516DEE" w:rsidP="00516DEE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sz w:val="16"/>
                <w:szCs w:val="16"/>
              </w:rPr>
              <w:t>49.7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516DEE" w:rsidRPr="00941044" w:rsidRDefault="00516DEE" w:rsidP="00516DEE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Quarterly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516DEE" w:rsidRPr="00941044" w:rsidRDefault="00516DEE" w:rsidP="00516DEE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516DEE" w:rsidRPr="00941044" w:rsidTr="002563BD">
        <w:trPr>
          <w:trHeight w:val="227"/>
        </w:trPr>
        <w:tc>
          <w:tcPr>
            <w:tcW w:w="924" w:type="dxa"/>
            <w:vMerge/>
            <w:vAlign w:val="center"/>
            <w:hideMark/>
          </w:tcPr>
          <w:p w:rsidR="00516DEE" w:rsidRPr="00941044" w:rsidRDefault="00516DEE" w:rsidP="00516DEE">
            <w:pPr>
              <w:bidi w:val="0"/>
              <w:rPr>
                <w:rFonts w:eastAsia="Times New Roman" w:cs="Calibri"/>
              </w:rPr>
            </w:pPr>
          </w:p>
        </w:tc>
        <w:tc>
          <w:tcPr>
            <w:tcW w:w="2835" w:type="dxa"/>
            <w:shd w:val="clear" w:color="auto" w:fill="CCC0D9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516DEE" w:rsidRPr="000709D6" w:rsidRDefault="00516DEE" w:rsidP="00516DEE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0709D6">
              <w:rPr>
                <w:rFonts w:eastAsia="Times New Roman" w:cs="Simplified Arabic"/>
                <w:b/>
                <w:bCs/>
                <w:sz w:val="17"/>
                <w:szCs w:val="17"/>
              </w:rPr>
              <w:t>Indicators</w:t>
            </w:r>
            <w:r>
              <w:rPr>
                <w:rFonts w:eastAsia="Times New Roman" w:cs="Simplified Arabic"/>
                <w:b/>
                <w:bCs/>
                <w:sz w:val="17"/>
                <w:szCs w:val="17"/>
              </w:rPr>
              <w:t xml:space="preserve">  </w:t>
            </w:r>
            <w:r w:rsidRPr="000709D6">
              <w:rPr>
                <w:rFonts w:eastAsia="Times New Roman" w:cs="Simplified Arabic"/>
                <w:b/>
                <w:bCs/>
                <w:sz w:val="17"/>
                <w:szCs w:val="17"/>
              </w:rPr>
              <w:t>of</w:t>
            </w:r>
            <w:r>
              <w:rPr>
                <w:rFonts w:eastAsia="Times New Roman" w:cs="Simplified Arabic"/>
                <w:b/>
                <w:bCs/>
                <w:sz w:val="17"/>
                <w:szCs w:val="17"/>
              </w:rPr>
              <w:t xml:space="preserve"> </w:t>
            </w:r>
            <w:r w:rsidRPr="000709D6">
              <w:rPr>
                <w:rFonts w:eastAsia="Times New Roman" w:cs="Simplified Arabic"/>
                <w:b/>
                <w:bCs/>
                <w:sz w:val="17"/>
                <w:szCs w:val="17"/>
              </w:rPr>
              <w:t xml:space="preserve"> housing</w:t>
            </w:r>
            <w:r>
              <w:rPr>
                <w:rFonts w:eastAsia="Times New Roman" w:cs="Simplified Arabic"/>
                <w:b/>
                <w:bCs/>
                <w:sz w:val="17"/>
                <w:szCs w:val="17"/>
              </w:rPr>
              <w:t xml:space="preserve"> </w:t>
            </w:r>
            <w:r w:rsidRPr="000709D6">
              <w:rPr>
                <w:rFonts w:eastAsia="Times New Roman" w:cs="Simplified Arabic"/>
                <w:b/>
                <w:bCs/>
                <w:sz w:val="17"/>
                <w:szCs w:val="17"/>
              </w:rPr>
              <w:t xml:space="preserve"> supply</w:t>
            </w:r>
            <w:r w:rsidRPr="000709D6">
              <w:rPr>
                <w:rFonts w:eastAsia="Times New Roman" w:cs="Calibri"/>
                <w:b/>
                <w:bCs/>
              </w:rPr>
              <w:t xml:space="preserve"> </w:t>
            </w:r>
          </w:p>
        </w:tc>
        <w:tc>
          <w:tcPr>
            <w:tcW w:w="635" w:type="dxa"/>
            <w:shd w:val="clear" w:color="auto" w:fill="CCC0D9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516DEE" w:rsidRPr="00941044" w:rsidRDefault="00516DEE" w:rsidP="00516DEE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4" w:type="dxa"/>
            <w:shd w:val="clear" w:color="auto" w:fill="CCC0D9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516DEE" w:rsidRPr="00941044" w:rsidRDefault="00516DEE" w:rsidP="00516DEE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CCC0D9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516DEE" w:rsidRPr="00941044" w:rsidRDefault="00516DEE" w:rsidP="00516DEE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CCC0D9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516DEE" w:rsidRPr="00941044" w:rsidRDefault="00516DEE" w:rsidP="00516DEE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CCC0D9"/>
            <w:vAlign w:val="center"/>
            <w:hideMark/>
          </w:tcPr>
          <w:p w:rsidR="00516DEE" w:rsidRPr="00941044" w:rsidRDefault="00516DEE" w:rsidP="00516DEE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CCC0D9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516DEE" w:rsidRPr="00941044" w:rsidRDefault="00516DEE" w:rsidP="00516DEE">
            <w:pPr>
              <w:bidi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CCC0D9"/>
            <w:vAlign w:val="center"/>
            <w:hideMark/>
          </w:tcPr>
          <w:p w:rsidR="00516DEE" w:rsidRPr="00941044" w:rsidRDefault="00516DEE" w:rsidP="00516DEE">
            <w:pPr>
              <w:bidi w:val="0"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92" w:type="dxa"/>
            <w:shd w:val="clear" w:color="auto" w:fill="CCC0D9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516DEE" w:rsidRPr="00941044" w:rsidRDefault="00516DEE" w:rsidP="00516DEE">
            <w:pPr>
              <w:bidi w:val="0"/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CCC0D9"/>
            <w:vAlign w:val="center"/>
            <w:hideMark/>
          </w:tcPr>
          <w:p w:rsidR="00516DEE" w:rsidRPr="00941044" w:rsidRDefault="00516DEE" w:rsidP="00516DEE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516DEE" w:rsidRPr="00941044" w:rsidTr="00BF7832">
        <w:trPr>
          <w:trHeight w:val="492"/>
        </w:trPr>
        <w:tc>
          <w:tcPr>
            <w:tcW w:w="924" w:type="dxa"/>
            <w:vMerge/>
            <w:vAlign w:val="center"/>
            <w:hideMark/>
          </w:tcPr>
          <w:p w:rsidR="00516DEE" w:rsidRPr="00941044" w:rsidRDefault="00516DEE" w:rsidP="00516DEE">
            <w:pPr>
              <w:bidi w:val="0"/>
              <w:spacing w:after="0"/>
              <w:rPr>
                <w:rFonts w:eastAsia="Times New Roman" w:cs="Calibri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516DEE" w:rsidRPr="00941044" w:rsidRDefault="00516DEE" w:rsidP="00516DEE">
            <w:pPr>
              <w:bidi w:val="0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I</w:t>
            </w:r>
            <w:r w:rsidRPr="000709D6"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nfrastructure 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 xml:space="preserve">expenditure </w:t>
            </w:r>
            <w:r w:rsidRPr="00FE0FF6">
              <w:rPr>
                <w:rFonts w:eastAsia="Times New Roman" w:cs="Calibri"/>
                <w:b/>
                <w:bCs/>
                <w:sz w:val="16"/>
                <w:szCs w:val="16"/>
              </w:rPr>
              <w:t>(</w:t>
            </w:r>
            <w:r w:rsidRPr="000709D6">
              <w:rPr>
                <w:rFonts w:eastAsia="Times New Roman" w:cs="Simplified Arabic"/>
                <w:b/>
                <w:bCs/>
                <w:sz w:val="16"/>
                <w:szCs w:val="16"/>
                <w:lang w:bidi="ar-JO"/>
              </w:rPr>
              <w:t>JD</w:t>
            </w:r>
            <w:r w:rsidRPr="000709D6">
              <w:rPr>
                <w:rFonts w:eastAsia="Times New Roman" w:cs="Simplified Arabic"/>
                <w:b/>
                <w:bCs/>
                <w:sz w:val="16"/>
                <w:szCs w:val="16"/>
                <w:rtl/>
              </w:rPr>
              <w:t>/</w:t>
            </w:r>
            <w:r w:rsidRPr="000709D6">
              <w:rPr>
                <w:rFonts w:eastAsia="Times New Roman" w:cs="Simplified Arabic"/>
                <w:b/>
                <w:bCs/>
                <w:sz w:val="16"/>
                <w:szCs w:val="16"/>
              </w:rPr>
              <w:t>people</w:t>
            </w:r>
            <w:r>
              <w:rPr>
                <w:rFonts w:eastAsia="Times New Roman" w:cs="Simplified Arabic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35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516DEE" w:rsidRPr="00941044" w:rsidRDefault="00516DEE" w:rsidP="00516DEE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N.</w:t>
            </w:r>
            <w:r>
              <w:rPr>
                <w:rFonts w:eastAsia="Times New Roman" w:cs="Simplified Arabic"/>
                <w:sz w:val="16"/>
                <w:szCs w:val="16"/>
              </w:rPr>
              <w:t>A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.</w:t>
            </w:r>
          </w:p>
        </w:tc>
        <w:tc>
          <w:tcPr>
            <w:tcW w:w="924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516DEE" w:rsidRPr="00941044" w:rsidRDefault="00516DEE" w:rsidP="00516DEE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N.</w:t>
            </w:r>
            <w:r>
              <w:rPr>
                <w:rFonts w:eastAsia="Times New Roman" w:cs="Simplified Arabic"/>
                <w:sz w:val="16"/>
                <w:szCs w:val="16"/>
              </w:rPr>
              <w:t>A</w:t>
            </w:r>
            <w:r w:rsidRPr="00941044">
              <w:rPr>
                <w:rFonts w:eastAsia="Times New Roman" w:cs="Simplified Arabic"/>
                <w:sz w:val="16"/>
                <w:szCs w:val="16"/>
              </w:rPr>
              <w:t>.</w:t>
            </w:r>
          </w:p>
        </w:tc>
        <w:tc>
          <w:tcPr>
            <w:tcW w:w="851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516DEE" w:rsidRPr="00941044" w:rsidRDefault="00516DEE" w:rsidP="00516DEE">
            <w:pPr>
              <w:bidi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Simplified Arabic"/>
                <w:sz w:val="16"/>
                <w:szCs w:val="16"/>
              </w:rPr>
              <w:t>68.1</w:t>
            </w:r>
          </w:p>
        </w:tc>
        <w:tc>
          <w:tcPr>
            <w:tcW w:w="850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516DEE" w:rsidRPr="001B713E" w:rsidRDefault="00516DEE" w:rsidP="00516DEE">
            <w:pPr>
              <w:bidi w:val="0"/>
              <w:spacing w:after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82.8</w:t>
            </w:r>
          </w:p>
        </w:tc>
        <w:tc>
          <w:tcPr>
            <w:tcW w:w="567" w:type="dxa"/>
            <w:vAlign w:val="center"/>
            <w:hideMark/>
          </w:tcPr>
          <w:p w:rsidR="00516DEE" w:rsidRPr="00501501" w:rsidRDefault="00516DEE" w:rsidP="00516DEE">
            <w:pPr>
              <w:bidi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941044">
              <w:rPr>
                <w:rFonts w:eastAsia="Times New Roman" w:cs="Simplified Arabic"/>
                <w:b/>
                <w:bCs/>
                <w:sz w:val="16"/>
                <w:szCs w:val="16"/>
              </w:rPr>
              <w:t> </w:t>
            </w:r>
            <w:r w:rsidRPr="00501501">
              <w:rPr>
                <w:rFonts w:eastAsia="Times New Roman" w:cs="Calibri"/>
                <w:sz w:val="16"/>
                <w:szCs w:val="16"/>
              </w:rPr>
              <w:t>82.</w:t>
            </w:r>
            <w:r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516DEE" w:rsidRPr="00BF7832" w:rsidRDefault="00516DEE" w:rsidP="00516DEE">
            <w:pPr>
              <w:bidi w:val="0"/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BF7832">
              <w:rPr>
                <w:rFonts w:eastAsia="Times New Roman" w:cs="Times New Roman"/>
                <w:sz w:val="16"/>
                <w:szCs w:val="16"/>
              </w:rPr>
              <w:t>49.5</w:t>
            </w:r>
          </w:p>
        </w:tc>
        <w:tc>
          <w:tcPr>
            <w:tcW w:w="567" w:type="dxa"/>
            <w:vAlign w:val="center"/>
            <w:hideMark/>
          </w:tcPr>
          <w:p w:rsidR="00516DEE" w:rsidRPr="00501501" w:rsidRDefault="00516DEE" w:rsidP="00516DEE">
            <w:pPr>
              <w:bidi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32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516DEE" w:rsidRPr="00941044" w:rsidRDefault="00516DEE" w:rsidP="00516DEE">
            <w:pPr>
              <w:bidi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1044">
              <w:rPr>
                <w:rFonts w:eastAsia="Times New Roman" w:cs="Simplified Arabic"/>
                <w:sz w:val="16"/>
                <w:szCs w:val="16"/>
              </w:rPr>
              <w:t>annual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516DEE" w:rsidRPr="00941044" w:rsidRDefault="00516DEE" w:rsidP="00516DEE">
            <w:pPr>
              <w:bidi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941044">
              <w:rPr>
                <w:rFonts w:eastAsia="Times New Roman" w:cs="Simplified Arabic"/>
                <w:b/>
                <w:bCs/>
                <w:sz w:val="16"/>
                <w:szCs w:val="16"/>
              </w:rPr>
              <w:t>Kingdom</w:t>
            </w:r>
          </w:p>
        </w:tc>
      </w:tr>
    </w:tbl>
    <w:p w:rsidR="00397E76" w:rsidRPr="00941044" w:rsidRDefault="00397E76" w:rsidP="00941044">
      <w:pPr>
        <w:bidi w:val="0"/>
        <w:spacing w:after="0" w:line="240" w:lineRule="auto"/>
        <w:rPr>
          <w:rFonts w:ascii="Calibri" w:eastAsia="Times New Roman" w:hAnsi="Calibri" w:cs="Calibri"/>
        </w:rPr>
      </w:pPr>
      <w:r w:rsidRPr="00397E76">
        <w:rPr>
          <w:rFonts w:ascii="Calibri" w:eastAsia="Times New Roman" w:hAnsi="Calibri" w:cs="Calibri"/>
          <w:sz w:val="6"/>
          <w:szCs w:val="6"/>
        </w:rPr>
        <w:t> </w:t>
      </w:r>
      <w:bookmarkStart w:id="0" w:name="_GoBack"/>
      <w:bookmarkEnd w:id="0"/>
    </w:p>
    <w:p w:rsidR="00397E76" w:rsidRPr="006D3755" w:rsidRDefault="00397E76" w:rsidP="00397E76">
      <w:pPr>
        <w:bidi w:val="0"/>
        <w:spacing w:after="0" w:line="240" w:lineRule="auto"/>
        <w:rPr>
          <w:rFonts w:eastAsia="Times New Roman" w:cs="Calibri"/>
          <w:sz w:val="14"/>
          <w:szCs w:val="14"/>
        </w:rPr>
      </w:pPr>
      <w:r w:rsidRPr="006D3755">
        <w:rPr>
          <w:rFonts w:eastAsia="Times New Roman" w:cs="Simplified Arabic"/>
          <w:b/>
          <w:bCs/>
          <w:sz w:val="14"/>
          <w:szCs w:val="14"/>
        </w:rPr>
        <w:t>Source:</w:t>
      </w:r>
    </w:p>
    <w:p w:rsidR="00397E76" w:rsidRPr="00397E76" w:rsidRDefault="00397E76" w:rsidP="002563BD">
      <w:pPr>
        <w:bidi w:val="0"/>
        <w:spacing w:after="0" w:line="240" w:lineRule="auto"/>
        <w:ind w:right="419" w:hanging="59"/>
        <w:rPr>
          <w:rFonts w:ascii="Calibri" w:eastAsia="Times New Roman" w:hAnsi="Calibri" w:cs="Calibri"/>
          <w:sz w:val="12"/>
          <w:szCs w:val="12"/>
        </w:rPr>
      </w:pPr>
      <w:proofErr w:type="gramStart"/>
      <w:r w:rsidRPr="00397E76">
        <w:rPr>
          <w:rFonts w:ascii="Symbol" w:eastAsia="Times New Roman" w:hAnsi="Symbol" w:cs="Calibri"/>
          <w:sz w:val="12"/>
          <w:szCs w:val="12"/>
        </w:rPr>
        <w:t></w:t>
      </w:r>
      <w:r w:rsidRPr="00397E76">
        <w:rPr>
          <w:rFonts w:ascii="Simplified Arabic" w:eastAsia="Times New Roman" w:hAnsi="Simplified Arabic" w:cs="Simplified Arabic"/>
          <w:sz w:val="12"/>
          <w:szCs w:val="12"/>
        </w:rPr>
        <w:t xml:space="preserve"> </w:t>
      </w:r>
      <w:r w:rsidRPr="006D3755">
        <w:rPr>
          <w:rFonts w:eastAsia="Times New Roman" w:cs="Simplified Arabic"/>
          <w:sz w:val="12"/>
          <w:szCs w:val="12"/>
        </w:rPr>
        <w:t xml:space="preserve">Data (2004) from the </w:t>
      </w:r>
      <w:r w:rsidR="00283961">
        <w:rPr>
          <w:rFonts w:eastAsia="Times New Roman" w:cs="Simplified Arabic"/>
          <w:sz w:val="12"/>
          <w:szCs w:val="12"/>
        </w:rPr>
        <w:t>G</w:t>
      </w:r>
      <w:r w:rsidRPr="006D3755">
        <w:rPr>
          <w:rFonts w:eastAsia="Times New Roman" w:cs="Simplified Arabic"/>
          <w:sz w:val="12"/>
          <w:szCs w:val="12"/>
        </w:rPr>
        <w:t>eneral</w:t>
      </w:r>
      <w:r w:rsidR="00283961" w:rsidRPr="00283961">
        <w:rPr>
          <w:rFonts w:eastAsia="Times New Roman" w:cs="Simplified Arabic"/>
          <w:sz w:val="12"/>
          <w:szCs w:val="12"/>
        </w:rPr>
        <w:t xml:space="preserve"> </w:t>
      </w:r>
      <w:r w:rsidR="00283961">
        <w:rPr>
          <w:rFonts w:eastAsia="Times New Roman" w:cs="Simplified Arabic"/>
          <w:sz w:val="12"/>
          <w:szCs w:val="12"/>
        </w:rPr>
        <w:t>C</w:t>
      </w:r>
      <w:r w:rsidR="00283961" w:rsidRPr="006D3755">
        <w:rPr>
          <w:rFonts w:eastAsia="Times New Roman" w:cs="Simplified Arabic"/>
          <w:sz w:val="12"/>
          <w:szCs w:val="12"/>
        </w:rPr>
        <w:t>ensus</w:t>
      </w:r>
      <w:r w:rsidR="00283961">
        <w:rPr>
          <w:rFonts w:eastAsia="Times New Roman" w:cs="Simplified Arabic"/>
          <w:sz w:val="12"/>
          <w:szCs w:val="12"/>
        </w:rPr>
        <w:t xml:space="preserve"> of</w:t>
      </w:r>
      <w:r w:rsidRPr="006D3755">
        <w:rPr>
          <w:rFonts w:eastAsia="Times New Roman" w:cs="Simplified Arabic"/>
          <w:sz w:val="12"/>
          <w:szCs w:val="12"/>
        </w:rPr>
        <w:t xml:space="preserve"> population and housing each year</w:t>
      </w:r>
      <w:r w:rsidR="00283961">
        <w:rPr>
          <w:rFonts w:eastAsia="Times New Roman" w:cs="Simplified Arabic"/>
          <w:sz w:val="12"/>
          <w:szCs w:val="12"/>
        </w:rPr>
        <w:t xml:space="preserve"> </w:t>
      </w:r>
      <w:r w:rsidRPr="006D3755">
        <w:rPr>
          <w:rFonts w:eastAsia="Times New Roman" w:cs="Simplified Arabic"/>
          <w:sz w:val="12"/>
          <w:szCs w:val="12"/>
        </w:rPr>
        <w:t>/Department of statistics.</w:t>
      </w:r>
      <w:proofErr w:type="gramEnd"/>
    </w:p>
    <w:p w:rsidR="00397E76" w:rsidRPr="00397E76" w:rsidRDefault="00397E76" w:rsidP="00397E76">
      <w:pPr>
        <w:bidi w:val="0"/>
        <w:spacing w:after="0" w:line="240" w:lineRule="auto"/>
        <w:ind w:right="419" w:hanging="59"/>
        <w:rPr>
          <w:rFonts w:ascii="Calibri" w:eastAsia="Times New Roman" w:hAnsi="Calibri" w:cs="Calibri"/>
          <w:sz w:val="12"/>
          <w:szCs w:val="12"/>
        </w:rPr>
      </w:pPr>
      <w:r w:rsidRPr="00397E76">
        <w:rPr>
          <w:rFonts w:ascii="Symbol" w:eastAsia="Times New Roman" w:hAnsi="Symbol" w:cs="Calibri"/>
          <w:sz w:val="12"/>
          <w:szCs w:val="12"/>
        </w:rPr>
        <w:t></w:t>
      </w:r>
      <w:r w:rsidRPr="00397E76">
        <w:rPr>
          <w:rFonts w:ascii="Simplified Arabic" w:eastAsia="Times New Roman" w:hAnsi="Simplified Arabic" w:cs="Simplified Arabic"/>
          <w:sz w:val="12"/>
          <w:szCs w:val="12"/>
          <w:lang w:bidi="ar-JO"/>
        </w:rPr>
        <w:t xml:space="preserve"> </w:t>
      </w:r>
      <w:r w:rsidRPr="006D3755">
        <w:rPr>
          <w:rFonts w:eastAsia="Times New Roman" w:cs="Simplified Arabic"/>
          <w:sz w:val="12"/>
          <w:szCs w:val="12"/>
          <w:lang w:bidi="ar-JO"/>
        </w:rPr>
        <w:t>Data (2006), (2008)</w:t>
      </w:r>
      <w:r w:rsidR="00E71CE1">
        <w:rPr>
          <w:rFonts w:eastAsia="Times New Roman" w:cs="Simplified Arabic"/>
          <w:sz w:val="12"/>
          <w:szCs w:val="12"/>
          <w:lang w:bidi="ar-JO"/>
        </w:rPr>
        <w:t>, (2010)</w:t>
      </w:r>
      <w:proofErr w:type="gramStart"/>
      <w:r w:rsidR="00E71CE1">
        <w:rPr>
          <w:rFonts w:eastAsia="Times New Roman" w:cs="Simplified Arabic"/>
          <w:sz w:val="12"/>
          <w:szCs w:val="12"/>
          <w:lang w:bidi="ar-JO"/>
        </w:rPr>
        <w:t xml:space="preserve">, </w:t>
      </w:r>
      <w:r w:rsidRPr="006D3755">
        <w:rPr>
          <w:rFonts w:eastAsia="Times New Roman" w:cs="Simplified Arabic"/>
          <w:sz w:val="12"/>
          <w:szCs w:val="12"/>
          <w:lang w:bidi="ar-JO"/>
        </w:rPr>
        <w:t xml:space="preserve"> from</w:t>
      </w:r>
      <w:proofErr w:type="gramEnd"/>
      <w:r w:rsidRPr="006D3755">
        <w:rPr>
          <w:rFonts w:eastAsia="Times New Roman" w:cs="Simplified Arabic"/>
          <w:sz w:val="12"/>
          <w:szCs w:val="12"/>
          <w:lang w:bidi="ar-JO"/>
        </w:rPr>
        <w:t xml:space="preserve"> the household expenditure</w:t>
      </w:r>
      <w:r w:rsidR="006E2C0A">
        <w:rPr>
          <w:rFonts w:eastAsia="Times New Roman" w:cs="Simplified Arabic"/>
          <w:sz w:val="12"/>
          <w:szCs w:val="12"/>
          <w:lang w:bidi="ar-JO"/>
        </w:rPr>
        <w:t>s</w:t>
      </w:r>
      <w:r w:rsidRPr="006D3755">
        <w:rPr>
          <w:rFonts w:eastAsia="Times New Roman" w:cs="Simplified Arabic"/>
          <w:sz w:val="12"/>
          <w:szCs w:val="12"/>
          <w:lang w:bidi="ar-JO"/>
        </w:rPr>
        <w:t xml:space="preserve"> and income survey</w:t>
      </w:r>
      <w:r w:rsidR="00283961">
        <w:rPr>
          <w:rFonts w:eastAsia="Times New Roman" w:cs="Simplified Arabic"/>
          <w:sz w:val="12"/>
          <w:szCs w:val="12"/>
          <w:lang w:bidi="ar-JO"/>
        </w:rPr>
        <w:t xml:space="preserve"> </w:t>
      </w:r>
      <w:r w:rsidRPr="006D3755">
        <w:rPr>
          <w:rFonts w:eastAsia="Times New Roman" w:cs="Simplified Arabic"/>
          <w:sz w:val="12"/>
          <w:szCs w:val="12"/>
          <w:lang w:bidi="ar-JO"/>
        </w:rPr>
        <w:t>/Department of statistics.</w:t>
      </w:r>
    </w:p>
    <w:p w:rsidR="00397E76" w:rsidRPr="00397E76" w:rsidRDefault="00397E76" w:rsidP="00397E76">
      <w:pPr>
        <w:bidi w:val="0"/>
        <w:spacing w:after="0" w:line="240" w:lineRule="auto"/>
        <w:ind w:right="419" w:hanging="59"/>
        <w:rPr>
          <w:rFonts w:ascii="Calibri" w:eastAsia="Times New Roman" w:hAnsi="Calibri" w:cs="Calibri"/>
          <w:sz w:val="12"/>
          <w:szCs w:val="12"/>
        </w:rPr>
      </w:pPr>
      <w:r w:rsidRPr="00397E76">
        <w:rPr>
          <w:rFonts w:ascii="Symbol" w:eastAsia="Times New Roman" w:hAnsi="Symbol" w:cs="Calibri"/>
          <w:sz w:val="12"/>
          <w:szCs w:val="12"/>
        </w:rPr>
        <w:t></w:t>
      </w:r>
      <w:r w:rsidRPr="00397E76">
        <w:rPr>
          <w:rFonts w:ascii="Simplified Arabic" w:eastAsia="Times New Roman" w:hAnsi="Simplified Arabic" w:cs="Simplified Arabic"/>
          <w:sz w:val="12"/>
          <w:szCs w:val="12"/>
          <w:lang w:bidi="ar-JO"/>
        </w:rPr>
        <w:t xml:space="preserve"> </w:t>
      </w:r>
      <w:r w:rsidRPr="006D3755">
        <w:rPr>
          <w:rFonts w:eastAsia="Times New Roman" w:cs="Simplified Arabic"/>
          <w:sz w:val="12"/>
          <w:szCs w:val="12"/>
          <w:lang w:bidi="ar-JO"/>
        </w:rPr>
        <w:t xml:space="preserve">Reports </w:t>
      </w:r>
      <w:r w:rsidR="005F7014">
        <w:rPr>
          <w:rFonts w:eastAsia="Times New Roman" w:cs="Simplified Arabic"/>
          <w:sz w:val="12"/>
          <w:szCs w:val="12"/>
          <w:lang w:bidi="ar-JO"/>
        </w:rPr>
        <w:t xml:space="preserve">  </w:t>
      </w:r>
      <w:r w:rsidRPr="006D3755">
        <w:rPr>
          <w:rFonts w:eastAsia="Times New Roman" w:cs="Simplified Arabic"/>
          <w:sz w:val="12"/>
          <w:szCs w:val="12"/>
          <w:lang w:bidi="ar-JO"/>
        </w:rPr>
        <w:t>of Jordan (2006), (2007), (2009)</w:t>
      </w:r>
      <w:r w:rsidR="00135A6C">
        <w:rPr>
          <w:rFonts w:eastAsia="Times New Roman" w:cs="Simplified Arabic"/>
          <w:sz w:val="12"/>
          <w:szCs w:val="12"/>
          <w:lang w:bidi="ar-JO"/>
        </w:rPr>
        <w:t>,</w:t>
      </w:r>
      <w:r w:rsidRPr="006D3755">
        <w:rPr>
          <w:rFonts w:eastAsia="Times New Roman" w:cs="Simplified Arabic"/>
          <w:sz w:val="12"/>
          <w:szCs w:val="12"/>
          <w:lang w:bidi="ar-JO"/>
        </w:rPr>
        <w:t xml:space="preserve"> (2010)</w:t>
      </w:r>
      <w:r w:rsidR="00E71CE1">
        <w:rPr>
          <w:rFonts w:eastAsia="Times New Roman" w:cs="Simplified Arabic"/>
          <w:sz w:val="12"/>
          <w:szCs w:val="12"/>
          <w:lang w:bidi="ar-JO"/>
        </w:rPr>
        <w:t>, (2011)</w:t>
      </w:r>
      <w:r w:rsidR="002D29CE">
        <w:rPr>
          <w:rFonts w:eastAsia="Times New Roman" w:cs="Simplified Arabic"/>
          <w:sz w:val="12"/>
          <w:szCs w:val="12"/>
          <w:lang w:bidi="ar-JO"/>
        </w:rPr>
        <w:t>, (2012</w:t>
      </w:r>
      <w:proofErr w:type="gramStart"/>
      <w:r w:rsidR="002D29CE">
        <w:rPr>
          <w:rFonts w:eastAsia="Times New Roman" w:cs="Simplified Arabic"/>
          <w:sz w:val="12"/>
          <w:szCs w:val="12"/>
          <w:lang w:bidi="ar-JO"/>
        </w:rPr>
        <w:t xml:space="preserve">) </w:t>
      </w:r>
      <w:r w:rsidR="00E71CE1">
        <w:rPr>
          <w:rFonts w:eastAsia="Times New Roman" w:cs="Simplified Arabic"/>
          <w:sz w:val="12"/>
          <w:szCs w:val="12"/>
          <w:lang w:bidi="ar-JO"/>
        </w:rPr>
        <w:t xml:space="preserve"> </w:t>
      </w:r>
      <w:r w:rsidRPr="006D3755">
        <w:rPr>
          <w:rFonts w:eastAsia="Times New Roman" w:cs="Simplified Arabic"/>
          <w:sz w:val="12"/>
          <w:szCs w:val="12"/>
          <w:lang w:bidi="ar-JO"/>
        </w:rPr>
        <w:t>/</w:t>
      </w:r>
      <w:proofErr w:type="gramEnd"/>
      <w:r w:rsidRPr="006D3755">
        <w:rPr>
          <w:rFonts w:eastAsia="Times New Roman" w:cs="Simplified Arabic"/>
          <w:sz w:val="12"/>
          <w:szCs w:val="12"/>
          <w:lang w:bidi="ar-JO"/>
        </w:rPr>
        <w:t>Department of statistics.</w:t>
      </w:r>
    </w:p>
    <w:p w:rsidR="00397E76" w:rsidRPr="00397E76" w:rsidRDefault="00397E76" w:rsidP="001324FD">
      <w:pPr>
        <w:bidi w:val="0"/>
        <w:spacing w:after="0" w:line="240" w:lineRule="auto"/>
        <w:ind w:right="419" w:hanging="59"/>
        <w:rPr>
          <w:rFonts w:ascii="Calibri" w:eastAsia="Times New Roman" w:hAnsi="Calibri" w:cs="Calibri"/>
          <w:sz w:val="12"/>
          <w:szCs w:val="12"/>
        </w:rPr>
      </w:pPr>
      <w:proofErr w:type="gramStart"/>
      <w:r w:rsidRPr="00397E76">
        <w:rPr>
          <w:rFonts w:ascii="Symbol" w:eastAsia="Times New Roman" w:hAnsi="Symbol" w:cs="Calibri"/>
          <w:sz w:val="12"/>
          <w:szCs w:val="12"/>
        </w:rPr>
        <w:t></w:t>
      </w:r>
      <w:r w:rsidRPr="00397E76">
        <w:rPr>
          <w:rFonts w:ascii="Simplified Arabic" w:eastAsia="Times New Roman" w:hAnsi="Simplified Arabic" w:cs="Simplified Arabic"/>
          <w:sz w:val="12"/>
          <w:szCs w:val="12"/>
        </w:rPr>
        <w:t xml:space="preserve"> </w:t>
      </w:r>
      <w:r w:rsidR="001324FD">
        <w:rPr>
          <w:rFonts w:eastAsia="Times New Roman" w:cs="Simplified Arabic"/>
          <w:sz w:val="12"/>
          <w:szCs w:val="12"/>
        </w:rPr>
        <w:t>Ministry Of Finance / General Budget Department</w:t>
      </w:r>
      <w:r w:rsidRPr="006D3755">
        <w:rPr>
          <w:rFonts w:eastAsia="Times New Roman" w:cs="Simplified Arabic"/>
          <w:sz w:val="12"/>
          <w:szCs w:val="12"/>
        </w:rPr>
        <w:t>.</w:t>
      </w:r>
      <w:proofErr w:type="gramEnd"/>
    </w:p>
    <w:p w:rsidR="00397E76" w:rsidRPr="00397E76" w:rsidRDefault="00397E76" w:rsidP="00397E76">
      <w:pPr>
        <w:bidi w:val="0"/>
        <w:spacing w:after="0" w:line="240" w:lineRule="auto"/>
        <w:ind w:right="419" w:hanging="59"/>
        <w:rPr>
          <w:rFonts w:ascii="Calibri" w:eastAsia="Times New Roman" w:hAnsi="Calibri" w:cs="Calibri"/>
          <w:sz w:val="12"/>
          <w:szCs w:val="12"/>
        </w:rPr>
      </w:pPr>
      <w:r w:rsidRPr="00397E76">
        <w:rPr>
          <w:rFonts w:ascii="Symbol" w:eastAsia="Times New Roman" w:hAnsi="Symbol" w:cs="Calibri"/>
          <w:sz w:val="12"/>
          <w:szCs w:val="12"/>
        </w:rPr>
        <w:t></w:t>
      </w:r>
      <w:r w:rsidRPr="00397E76">
        <w:rPr>
          <w:rFonts w:ascii="Simplified Arabic" w:eastAsia="Times New Roman" w:hAnsi="Simplified Arabic" w:cs="Simplified Arabic"/>
          <w:sz w:val="12"/>
          <w:szCs w:val="12"/>
          <w:lang w:bidi="ar-JO"/>
        </w:rPr>
        <w:t xml:space="preserve"> </w:t>
      </w:r>
      <w:r w:rsidRPr="006D3755">
        <w:rPr>
          <w:rFonts w:eastAsia="Times New Roman" w:cs="Simplified Arabic"/>
          <w:sz w:val="12"/>
          <w:szCs w:val="12"/>
          <w:lang w:bidi="ar-JO"/>
        </w:rPr>
        <w:t>Jordanian Central Bank releases for years</w:t>
      </w:r>
      <w:r w:rsidR="00E71CE1">
        <w:rPr>
          <w:rFonts w:eastAsia="Times New Roman" w:cs="Simplified Arabic"/>
          <w:sz w:val="12"/>
          <w:szCs w:val="12"/>
          <w:lang w:bidi="ar-JO"/>
        </w:rPr>
        <w:t xml:space="preserve"> </w:t>
      </w:r>
      <w:proofErr w:type="gramStart"/>
      <w:r w:rsidR="00E71CE1">
        <w:rPr>
          <w:rFonts w:eastAsia="Times New Roman" w:cs="Simplified Arabic"/>
          <w:sz w:val="12"/>
          <w:szCs w:val="12"/>
          <w:lang w:bidi="ar-JO"/>
        </w:rPr>
        <w:t xml:space="preserve">comparison </w:t>
      </w:r>
      <w:r w:rsidRPr="006D3755">
        <w:rPr>
          <w:rFonts w:eastAsia="Times New Roman" w:cs="Simplified Arabic"/>
          <w:sz w:val="12"/>
          <w:szCs w:val="12"/>
          <w:lang w:bidi="ar-JO"/>
        </w:rPr>
        <w:t xml:space="preserve"> And</w:t>
      </w:r>
      <w:proofErr w:type="gramEnd"/>
      <w:r w:rsidRPr="006D3755">
        <w:rPr>
          <w:rFonts w:eastAsia="Times New Roman" w:cs="Simplified Arabic"/>
          <w:sz w:val="12"/>
          <w:szCs w:val="12"/>
          <w:lang w:bidi="ar-JO"/>
        </w:rPr>
        <w:t xml:space="preserve"> website</w:t>
      </w:r>
      <w:r w:rsidR="00E71CE1">
        <w:rPr>
          <w:rFonts w:eastAsia="Times New Roman" w:cs="Simplified Arabic"/>
          <w:sz w:val="12"/>
          <w:szCs w:val="12"/>
          <w:lang w:bidi="ar-JO"/>
        </w:rPr>
        <w:t>.</w:t>
      </w:r>
      <w:r w:rsidRPr="00397E76">
        <w:rPr>
          <w:rFonts w:ascii="Simplified Arabic" w:eastAsia="Times New Roman" w:hAnsi="Simplified Arabic" w:cs="Simplified Arabic"/>
          <w:sz w:val="12"/>
          <w:szCs w:val="12"/>
          <w:lang w:bidi="ar-JO"/>
        </w:rPr>
        <w:t xml:space="preserve"> </w:t>
      </w:r>
    </w:p>
    <w:p w:rsidR="00397E76" w:rsidRPr="00397E76" w:rsidRDefault="00397E76" w:rsidP="00397E76">
      <w:pPr>
        <w:bidi w:val="0"/>
        <w:spacing w:after="0" w:line="240" w:lineRule="auto"/>
        <w:ind w:right="419" w:hanging="59"/>
        <w:rPr>
          <w:rFonts w:ascii="Calibri" w:eastAsia="Times New Roman" w:hAnsi="Calibri" w:cs="Calibri"/>
          <w:sz w:val="12"/>
          <w:szCs w:val="12"/>
        </w:rPr>
      </w:pPr>
      <w:proofErr w:type="gramStart"/>
      <w:r w:rsidRPr="00397E76">
        <w:rPr>
          <w:rFonts w:ascii="Symbol" w:eastAsia="Times New Roman" w:hAnsi="Symbol" w:cs="Calibri"/>
          <w:sz w:val="12"/>
          <w:szCs w:val="12"/>
        </w:rPr>
        <w:t></w:t>
      </w:r>
      <w:r w:rsidRPr="00397E76">
        <w:rPr>
          <w:rFonts w:ascii="Simplified Arabic" w:eastAsia="Times New Roman" w:hAnsi="Simplified Arabic" w:cs="Simplified Arabic"/>
          <w:sz w:val="12"/>
          <w:szCs w:val="12"/>
          <w:lang w:bidi="ar-JO"/>
        </w:rPr>
        <w:t xml:space="preserve"> </w:t>
      </w:r>
      <w:r w:rsidRPr="006D3755">
        <w:rPr>
          <w:rFonts w:eastAsia="Times New Roman" w:cs="Simplified Arabic"/>
          <w:sz w:val="12"/>
          <w:szCs w:val="12"/>
          <w:lang w:bidi="ar-JO"/>
        </w:rPr>
        <w:t>DLs.</w:t>
      </w:r>
      <w:r w:rsidRPr="006D3755">
        <w:rPr>
          <w:rFonts w:eastAsia="Times New Roman" w:cs="Calibri"/>
          <w:sz w:val="12"/>
          <w:szCs w:val="12"/>
        </w:rPr>
        <w:t>www.DLS.gov.jo.</w:t>
      </w:r>
      <w:proofErr w:type="gramEnd"/>
      <w:r w:rsidR="00AA2B69">
        <w:rPr>
          <w:rFonts w:ascii="Calibri" w:eastAsia="Times New Roman" w:hAnsi="Calibri" w:cs="Calibri"/>
          <w:sz w:val="12"/>
          <w:szCs w:val="12"/>
        </w:rPr>
        <w:t xml:space="preserve"> </w:t>
      </w:r>
    </w:p>
    <w:p w:rsidR="00397E76" w:rsidRPr="00397E76" w:rsidRDefault="00397E76" w:rsidP="00F10158">
      <w:pPr>
        <w:bidi w:val="0"/>
        <w:spacing w:after="0" w:line="240" w:lineRule="auto"/>
        <w:ind w:right="419" w:hanging="59"/>
        <w:rPr>
          <w:rFonts w:ascii="Calibri" w:eastAsia="Times New Roman" w:hAnsi="Calibri" w:cs="Calibri"/>
          <w:sz w:val="12"/>
          <w:szCs w:val="12"/>
        </w:rPr>
      </w:pPr>
      <w:r w:rsidRPr="00F10158">
        <w:rPr>
          <w:rFonts w:ascii="Symbol" w:eastAsia="Times New Roman" w:hAnsi="Symbol" w:cs="Calibri"/>
          <w:sz w:val="12"/>
          <w:szCs w:val="12"/>
        </w:rPr>
        <w:t></w:t>
      </w:r>
      <w:r w:rsidRPr="00397E76">
        <w:rPr>
          <w:rFonts w:ascii="Simplified Arabic" w:eastAsia="Times New Roman" w:hAnsi="Simplified Arabic" w:cs="Simplified Arabic"/>
          <w:sz w:val="12"/>
          <w:szCs w:val="12"/>
          <w:lang w:bidi="ar-JO"/>
        </w:rPr>
        <w:t xml:space="preserve"> </w:t>
      </w:r>
      <w:r w:rsidRPr="006D3755">
        <w:rPr>
          <w:rFonts w:eastAsia="Times New Roman" w:cs="Simplified Arabic"/>
          <w:sz w:val="12"/>
          <w:szCs w:val="12"/>
          <w:lang w:bidi="ar-JO"/>
        </w:rPr>
        <w:t>(</w:t>
      </w:r>
      <w:r w:rsidR="00F10158" w:rsidRPr="00696A2D">
        <w:rPr>
          <w:rFonts w:eastAsia="Times New Roman" w:cs="Simplified Arabic"/>
          <w:sz w:val="12"/>
          <w:szCs w:val="12"/>
        </w:rPr>
        <w:t>N.A</w:t>
      </w:r>
      <w:r w:rsidRPr="006D3755">
        <w:rPr>
          <w:rFonts w:eastAsia="Times New Roman" w:cs="Simplified Arabic"/>
          <w:sz w:val="12"/>
          <w:szCs w:val="12"/>
          <w:lang w:bidi="ar-JO"/>
        </w:rPr>
        <w:t xml:space="preserve">): means that </w:t>
      </w:r>
      <w:r w:rsidR="00F10158">
        <w:rPr>
          <w:rFonts w:eastAsia="Times New Roman" w:cs="Simplified Arabic"/>
          <w:sz w:val="12"/>
          <w:szCs w:val="12"/>
          <w:lang w:bidi="ar-JO"/>
        </w:rPr>
        <w:t>data</w:t>
      </w:r>
      <w:r w:rsidRPr="006D3755">
        <w:rPr>
          <w:rFonts w:eastAsia="Times New Roman" w:cs="Simplified Arabic"/>
          <w:sz w:val="12"/>
          <w:szCs w:val="12"/>
          <w:lang w:bidi="ar-JO"/>
        </w:rPr>
        <w:t xml:space="preserve"> is not available.</w:t>
      </w:r>
    </w:p>
    <w:p w:rsidR="005F7014" w:rsidRDefault="00F10158" w:rsidP="00AF76DB">
      <w:pPr>
        <w:tabs>
          <w:tab w:val="right" w:pos="0"/>
        </w:tabs>
        <w:bidi w:val="0"/>
        <w:spacing w:after="0" w:line="240" w:lineRule="auto"/>
        <w:ind w:left="-142" w:right="-1186"/>
        <w:rPr>
          <w:rFonts w:ascii="Calibri" w:eastAsia="Times New Roman" w:hAnsi="Calibri" w:cs="Calibri"/>
          <w:sz w:val="12"/>
          <w:szCs w:val="12"/>
        </w:rPr>
      </w:pPr>
      <w:r>
        <w:rPr>
          <w:rFonts w:ascii="Symbol" w:eastAsia="Times New Roman" w:hAnsi="Symbol" w:cs="Calibri"/>
          <w:sz w:val="12"/>
          <w:szCs w:val="12"/>
        </w:rPr>
        <w:t></w:t>
      </w:r>
      <w:r>
        <w:rPr>
          <w:rFonts w:ascii="Symbol" w:eastAsia="Times New Roman" w:hAnsi="Symbol" w:cs="Calibri"/>
          <w:sz w:val="12"/>
          <w:szCs w:val="12"/>
        </w:rPr>
        <w:t></w:t>
      </w:r>
      <w:r w:rsidR="00397E76" w:rsidRPr="00F10158">
        <w:rPr>
          <w:rFonts w:ascii="Symbol" w:eastAsia="Times New Roman" w:hAnsi="Symbol" w:cs="Calibri"/>
          <w:sz w:val="12"/>
          <w:szCs w:val="12"/>
        </w:rPr>
        <w:t></w:t>
      </w:r>
      <w:r w:rsidR="00397E76" w:rsidRPr="00397E76">
        <w:rPr>
          <w:rFonts w:ascii="Simplified Arabic" w:eastAsia="Times New Roman" w:hAnsi="Simplified Arabic" w:cs="Simplified Arabic"/>
          <w:sz w:val="12"/>
          <w:szCs w:val="12"/>
          <w:lang w:bidi="ar-JO"/>
        </w:rPr>
        <w:t xml:space="preserve"> </w:t>
      </w:r>
      <w:r w:rsidR="00397E76" w:rsidRPr="006D3755">
        <w:rPr>
          <w:rFonts w:eastAsia="Times New Roman" w:cs="Simplified Arabic"/>
          <w:sz w:val="12"/>
          <w:szCs w:val="12"/>
          <w:lang w:bidi="ar-JO"/>
        </w:rPr>
        <w:t>*</w:t>
      </w:r>
      <w:r>
        <w:rPr>
          <w:rFonts w:eastAsia="Times New Roman" w:cs="Simplified Arabic"/>
          <w:sz w:val="12"/>
          <w:szCs w:val="12"/>
          <w:lang w:bidi="ar-JO"/>
        </w:rPr>
        <w:t>:</w:t>
      </w:r>
      <w:r w:rsidR="00397E76" w:rsidRPr="006D3755">
        <w:rPr>
          <w:rFonts w:eastAsia="Times New Roman" w:cs="Simplified Arabic"/>
          <w:sz w:val="12"/>
          <w:szCs w:val="12"/>
          <w:lang w:bidi="ar-JO"/>
        </w:rPr>
        <w:t xml:space="preserve"> Quarterly estimates.</w:t>
      </w:r>
      <w:r w:rsidR="00853B2F">
        <w:rPr>
          <w:rFonts w:ascii="Calibri" w:eastAsia="Times New Roman" w:hAnsi="Calibri" w:cs="Calibri"/>
          <w:sz w:val="12"/>
          <w:szCs w:val="12"/>
        </w:rPr>
        <w:t xml:space="preserve"> </w:t>
      </w:r>
      <w:r w:rsidR="00AA2B69">
        <w:rPr>
          <w:rFonts w:ascii="Calibri" w:eastAsia="Times New Roman" w:hAnsi="Calibri" w:cs="Calibri"/>
          <w:sz w:val="12"/>
          <w:szCs w:val="12"/>
        </w:rPr>
        <w:t xml:space="preserve"> </w:t>
      </w:r>
      <w:r w:rsidR="00853B2F">
        <w:rPr>
          <w:rFonts w:ascii="Calibri" w:eastAsia="Times New Roman" w:hAnsi="Calibri" w:cs="Calibri"/>
          <w:sz w:val="12"/>
          <w:szCs w:val="12"/>
        </w:rPr>
        <w:t xml:space="preserve"> </w:t>
      </w:r>
      <w:r w:rsidR="00BE0B40">
        <w:rPr>
          <w:rFonts w:ascii="Calibri" w:eastAsia="Times New Roman" w:hAnsi="Calibri" w:cs="Calibri"/>
          <w:sz w:val="12"/>
          <w:szCs w:val="12"/>
        </w:rPr>
        <w:t xml:space="preserve"> </w:t>
      </w:r>
      <w:r w:rsidR="00853B2F">
        <w:rPr>
          <w:rFonts w:ascii="Calibri" w:eastAsia="Times New Roman" w:hAnsi="Calibri" w:cs="Calibri"/>
          <w:sz w:val="12"/>
          <w:szCs w:val="12"/>
        </w:rPr>
        <w:t xml:space="preserve"> </w:t>
      </w:r>
    </w:p>
    <w:p w:rsidR="00FA7DBA" w:rsidRPr="00FA7DBA" w:rsidRDefault="00FA7DBA" w:rsidP="002F11FC">
      <w:pPr>
        <w:shd w:val="clear" w:color="auto" w:fill="E6E6E6"/>
        <w:bidi w:val="0"/>
        <w:spacing w:after="0"/>
        <w:rPr>
          <w:rFonts w:ascii="Arial" w:eastAsia="Times New Roman" w:hAnsi="Arial" w:cs="Arial"/>
          <w:vanish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vanish/>
          <w:color w:val="0000FF"/>
          <w:sz w:val="30"/>
          <w:szCs w:val="30"/>
          <w:bdr w:val="none" w:sz="0" w:space="0" w:color="auto" w:frame="1"/>
        </w:rPr>
        <w:drawing>
          <wp:inline distT="0" distB="0" distL="0" distR="0">
            <wp:extent cx="520065" cy="173355"/>
            <wp:effectExtent l="19050" t="0" r="0" b="0"/>
            <wp:docPr id="2" name="Picture 2" descr="http://www.microsofttranslator.com/static/172829/img/tooltip_logo.gif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crosofttranslator.com/static/172829/img/tooltip_logo.gif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30"/>
          <w:szCs w:val="30"/>
        </w:rPr>
        <w:drawing>
          <wp:inline distT="0" distB="0" distL="0" distR="0">
            <wp:extent cx="78740" cy="78740"/>
            <wp:effectExtent l="19050" t="0" r="0" b="0"/>
            <wp:docPr id="3" name="Picture 3" descr="http://www.microsofttranslator.com/static/172829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crosofttranslator.com/static/172829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DBA" w:rsidRPr="00FA7DBA" w:rsidRDefault="00FA7DBA" w:rsidP="00FA7DBA">
      <w:pPr>
        <w:shd w:val="clear" w:color="auto" w:fill="E6E6E6"/>
        <w:bidi w:val="0"/>
        <w:spacing w:after="199"/>
        <w:rPr>
          <w:rFonts w:ascii="Arial" w:eastAsia="Times New Roman" w:hAnsi="Arial" w:cs="Arial"/>
          <w:b/>
          <w:bCs/>
          <w:vanish/>
          <w:color w:val="000000"/>
          <w:sz w:val="30"/>
          <w:szCs w:val="30"/>
        </w:rPr>
      </w:pPr>
      <w:r w:rsidRPr="00FA7DBA">
        <w:rPr>
          <w:rFonts w:ascii="Arial" w:eastAsia="Times New Roman" w:hAnsi="Arial" w:cs="Arial"/>
          <w:b/>
          <w:bCs/>
          <w:vanish/>
          <w:color w:val="000000"/>
          <w:sz w:val="30"/>
          <w:szCs w:val="30"/>
        </w:rPr>
        <w:t>Original</w:t>
      </w:r>
    </w:p>
    <w:p w:rsidR="00FA7DBA" w:rsidRPr="00FA7DBA" w:rsidRDefault="00FA7DBA" w:rsidP="00FA7DBA">
      <w:pPr>
        <w:shd w:val="clear" w:color="auto" w:fill="E6E6E6"/>
        <w:spacing w:after="0"/>
        <w:rPr>
          <w:rFonts w:ascii="Arial" w:eastAsia="Times New Roman" w:hAnsi="Arial" w:cs="Arial"/>
          <w:vanish/>
          <w:color w:val="000000"/>
          <w:sz w:val="30"/>
          <w:szCs w:val="30"/>
        </w:rPr>
      </w:pPr>
      <w:r w:rsidRPr="00FA7DBA">
        <w:rPr>
          <w:rFonts w:ascii="Arial" w:eastAsia="Times New Roman" w:hAnsi="Arial" w:cs="Arial"/>
          <w:vanish/>
          <w:color w:val="000000"/>
          <w:sz w:val="30"/>
          <w:szCs w:val="30"/>
          <w:rtl/>
        </w:rPr>
        <w:t>4139</w:t>
      </w:r>
    </w:p>
    <w:sectPr w:rsidR="00FA7DBA" w:rsidRPr="00FA7DBA" w:rsidSect="00180D27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37" w:rsidRDefault="00C52D37" w:rsidP="007F2E80">
      <w:pPr>
        <w:spacing w:after="0" w:line="240" w:lineRule="auto"/>
      </w:pPr>
      <w:r>
        <w:separator/>
      </w:r>
    </w:p>
  </w:endnote>
  <w:endnote w:type="continuationSeparator" w:id="0">
    <w:p w:rsidR="00C52D37" w:rsidRDefault="00C52D37" w:rsidP="007F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32617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7DE" w:rsidRDefault="006C6F45" w:rsidP="006D2D4D">
        <w:pPr>
          <w:pStyle w:val="Footer"/>
          <w:jc w:val="center"/>
        </w:pPr>
        <w:fldSimple w:instr=" PAGE  \* Arabic  \* MERGEFORMAT ">
          <w:r w:rsidR="00516DEE">
            <w:rPr>
              <w:noProof/>
            </w:rPr>
            <w:t>5</w:t>
          </w:r>
        </w:fldSimple>
      </w:p>
    </w:sdtContent>
  </w:sdt>
  <w:p w:rsidR="000E27DE" w:rsidRDefault="000E27DE">
    <w:pPr>
      <w:pStyle w:val="Footer"/>
      <w:rPr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37" w:rsidRDefault="00C52D37" w:rsidP="007F2E80">
      <w:pPr>
        <w:spacing w:after="0" w:line="240" w:lineRule="auto"/>
      </w:pPr>
      <w:r>
        <w:separator/>
      </w:r>
    </w:p>
  </w:footnote>
  <w:footnote w:type="continuationSeparator" w:id="0">
    <w:p w:rsidR="00C52D37" w:rsidRDefault="00C52D37" w:rsidP="007F2E80">
      <w:pPr>
        <w:spacing w:after="0" w:line="240" w:lineRule="auto"/>
      </w:pPr>
      <w:r>
        <w:continuationSeparator/>
      </w:r>
    </w:p>
  </w:footnote>
  <w:footnote w:id="1">
    <w:p w:rsidR="000E27DE" w:rsidRDefault="000E27DE" w:rsidP="007F2E8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17399">
        <w:rPr>
          <w:rFonts w:asciiTheme="minorHAnsi" w:hAnsiTheme="minorHAnsi" w:cs="Arial"/>
          <w:sz w:val="12"/>
          <w:szCs w:val="12"/>
        </w:rPr>
        <w:t>Calculated relative to median annual income of the year (2002-2003) and its value (</w:t>
      </w:r>
      <w:proofErr w:type="gramStart"/>
      <w:r w:rsidRPr="00A17399">
        <w:rPr>
          <w:rFonts w:asciiTheme="minorHAnsi" w:hAnsiTheme="minorHAnsi" w:cs="Arial"/>
          <w:sz w:val="12"/>
          <w:szCs w:val="12"/>
        </w:rPr>
        <w:t>4205.7</w:t>
      </w:r>
      <w:r>
        <w:rPr>
          <w:rFonts w:asciiTheme="minorHAnsi" w:hAnsiTheme="minorHAnsi" w:cs="Arial"/>
          <w:sz w:val="12"/>
          <w:szCs w:val="12"/>
        </w:rPr>
        <w:t xml:space="preserve"> </w:t>
      </w:r>
      <w:r w:rsidRPr="00A17399">
        <w:rPr>
          <w:rFonts w:asciiTheme="minorHAnsi" w:hAnsiTheme="minorHAnsi" w:cs="Arial"/>
          <w:sz w:val="12"/>
          <w:szCs w:val="12"/>
        </w:rPr>
        <w:t>)</w:t>
      </w:r>
      <w:proofErr w:type="gramEnd"/>
      <w:r>
        <w:rPr>
          <w:rFonts w:asciiTheme="minorHAnsi" w:hAnsiTheme="minorHAnsi" w:cs="Arial"/>
          <w:sz w:val="12"/>
          <w:szCs w:val="12"/>
        </w:rPr>
        <w:t xml:space="preserve"> J.D.</w:t>
      </w:r>
    </w:p>
  </w:footnote>
  <w:footnote w:id="2">
    <w:p w:rsidR="000E27DE" w:rsidRPr="00436A5C" w:rsidRDefault="000E27DE" w:rsidP="00436A5C">
      <w:pPr>
        <w:bidi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DC79C6">
        <w:rPr>
          <w:rStyle w:val="FootnoteReference"/>
          <w:sz w:val="20"/>
          <w:szCs w:val="20"/>
        </w:rPr>
        <w:footnoteRef/>
      </w:r>
      <w:r>
        <w:rPr>
          <w:rtl/>
        </w:rPr>
        <w:t xml:space="preserve"> </w:t>
      </w:r>
      <w:r w:rsidRPr="00FA7DBA">
        <w:rPr>
          <w:rFonts w:ascii="Calibri" w:eastAsia="Times New Roman" w:hAnsi="Calibri" w:cs="Simplified Arabic" w:hint="cs"/>
          <w:sz w:val="12"/>
          <w:szCs w:val="12"/>
        </w:rPr>
        <w:t>The figure has been modified by final data/statistical year book 2009, no. (60), (p. 264).</w:t>
      </w:r>
    </w:p>
  </w:footnote>
  <w:footnote w:id="3">
    <w:p w:rsidR="000E27DE" w:rsidRDefault="000E27DE" w:rsidP="00651532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17399">
        <w:rPr>
          <w:rFonts w:asciiTheme="minorHAnsi" w:hAnsiTheme="minorHAnsi" w:cs="Simplified Arabic"/>
          <w:sz w:val="12"/>
          <w:szCs w:val="12"/>
        </w:rPr>
        <w:t xml:space="preserve">Central Bank of Jordan/website </w:t>
      </w:r>
      <w:hyperlink r:id="rId1" w:tgtFrame="_top" w:history="1">
        <w:r w:rsidRPr="00A17399">
          <w:rPr>
            <w:rFonts w:asciiTheme="minorHAnsi" w:hAnsiTheme="minorHAnsi" w:cs="Calibri"/>
            <w:color w:val="0000FF"/>
            <w:sz w:val="12"/>
            <w:szCs w:val="12"/>
            <w:u w:val="single"/>
          </w:rPr>
          <w:t>www.cbj.gov.jo</w:t>
        </w:r>
        <w:r w:rsidRPr="00A17399">
          <w:rPr>
            <w:rFonts w:asciiTheme="minorHAnsi" w:hAnsiTheme="minorHAnsi" w:cs="Simplified Arabic"/>
            <w:color w:val="0000FF"/>
            <w:sz w:val="12"/>
            <w:szCs w:val="12"/>
            <w:u w:val="single"/>
            <w:lang w:bidi="ar-JO"/>
          </w:rPr>
          <w:t>/</w:t>
        </w:r>
        <w:r w:rsidRPr="00A17399">
          <w:rPr>
            <w:rFonts w:asciiTheme="minorHAnsi" w:hAnsiTheme="minorHAnsi" w:cs="Calibri"/>
            <w:color w:val="0000FF"/>
            <w:u w:val="single"/>
          </w:rPr>
          <w:t xml:space="preserve"> </w:t>
        </w:r>
      </w:hyperlink>
      <w:r w:rsidRPr="00A17399">
        <w:rPr>
          <w:rFonts w:asciiTheme="minorHAnsi" w:hAnsiTheme="minorHAnsi" w:cs="Simplified Arabic"/>
          <w:sz w:val="12"/>
          <w:szCs w:val="12"/>
          <w:lang w:bidi="ar-JO"/>
        </w:rPr>
        <w:t>covers licensed banks for all years except years (2011-2012</w:t>
      </w:r>
      <w:r>
        <w:rPr>
          <w:rFonts w:asciiTheme="minorHAnsi" w:hAnsiTheme="minorHAnsi" w:cs="Simplified Arabic"/>
          <w:sz w:val="12"/>
          <w:szCs w:val="12"/>
          <w:lang w:bidi="ar-JO"/>
        </w:rPr>
        <w:t>-2013</w:t>
      </w:r>
      <w:r w:rsidRPr="00A17399">
        <w:rPr>
          <w:rFonts w:asciiTheme="minorHAnsi" w:hAnsiTheme="minorHAnsi" w:cs="Simplified Arabic"/>
          <w:sz w:val="12"/>
          <w:szCs w:val="12"/>
          <w:lang w:bidi="ar-JO"/>
        </w:rPr>
        <w:t>) which are limited to licensed banks</w:t>
      </w:r>
      <w:r w:rsidRPr="00A17399">
        <w:rPr>
          <w:rFonts w:asciiTheme="minorHAnsi" w:hAnsiTheme="minorHAnsi" w:cs="Simplified Arabic"/>
          <w:b/>
          <w:bCs/>
          <w:sz w:val="12"/>
          <w:szCs w:val="12"/>
          <w:lang w:bidi="ar-JO"/>
        </w:rPr>
        <w:t xml:space="preserve"> operating</w:t>
      </w:r>
      <w:r w:rsidRPr="00A17399">
        <w:rPr>
          <w:rFonts w:asciiTheme="minorHAnsi" w:hAnsiTheme="minorHAnsi" w:cs="Simplified Arabic"/>
          <w:sz w:val="12"/>
          <w:szCs w:val="12"/>
          <w:lang w:bidi="ar-JO"/>
        </w:rPr>
        <w:t>.</w:t>
      </w:r>
    </w:p>
  </w:footnote>
  <w:footnote w:id="4">
    <w:p w:rsidR="000E27DE" w:rsidRDefault="000E27DE" w:rsidP="001131E5">
      <w:pPr>
        <w:pStyle w:val="FootnoteText"/>
        <w:bidi w:val="0"/>
        <w:ind w:left="142" w:hanging="142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17399">
        <w:rPr>
          <w:rFonts w:asciiTheme="minorHAnsi" w:hAnsiTheme="minorHAnsi" w:cs="Simplified Arabic"/>
          <w:sz w:val="12"/>
          <w:szCs w:val="12"/>
        </w:rPr>
        <w:t xml:space="preserve">Central Bank of Jordan/credit facilities </w:t>
      </w:r>
      <w:r>
        <w:rPr>
          <w:rFonts w:asciiTheme="minorHAnsi" w:hAnsiTheme="minorHAnsi" w:cs="Simplified Arabic"/>
          <w:sz w:val="12"/>
          <w:szCs w:val="12"/>
        </w:rPr>
        <w:t>extended</w:t>
      </w:r>
      <w:r w:rsidRPr="00A17399">
        <w:rPr>
          <w:rFonts w:asciiTheme="minorHAnsi" w:hAnsiTheme="minorHAnsi" w:cs="Simplified Arabic"/>
          <w:sz w:val="12"/>
          <w:szCs w:val="12"/>
        </w:rPr>
        <w:t xml:space="preserve"> by licensed banks </w:t>
      </w:r>
      <w:r w:rsidRPr="00A17399">
        <w:rPr>
          <w:rFonts w:asciiTheme="minorHAnsi" w:hAnsiTheme="minorHAnsi" w:cs="Simplified Arabic"/>
          <w:b/>
          <w:bCs/>
          <w:sz w:val="12"/>
          <w:szCs w:val="12"/>
          <w:lang w:bidi="ar-JO"/>
        </w:rPr>
        <w:t>operating</w:t>
      </w:r>
      <w:r w:rsidRPr="00A17399">
        <w:rPr>
          <w:rFonts w:asciiTheme="minorHAnsi" w:hAnsiTheme="minorHAnsi" w:cs="Simplified Arabic"/>
          <w:b/>
          <w:bCs/>
          <w:sz w:val="12"/>
          <w:szCs w:val="12"/>
        </w:rPr>
        <w:t xml:space="preserve"> </w:t>
      </w:r>
      <w:r>
        <w:rPr>
          <w:rFonts w:asciiTheme="minorHAnsi" w:hAnsiTheme="minorHAnsi" w:cs="Simplified Arabic"/>
          <w:b/>
          <w:bCs/>
          <w:sz w:val="12"/>
          <w:szCs w:val="12"/>
        </w:rPr>
        <w:t xml:space="preserve"> </w:t>
      </w:r>
      <w:r w:rsidRPr="00A17399">
        <w:rPr>
          <w:rFonts w:asciiTheme="minorHAnsi" w:hAnsiTheme="minorHAnsi" w:cs="Simplified Arabic"/>
          <w:sz w:val="12"/>
          <w:szCs w:val="12"/>
        </w:rPr>
        <w:t xml:space="preserve"> for</w:t>
      </w:r>
      <w:r>
        <w:rPr>
          <w:rFonts w:asciiTheme="minorHAnsi" w:hAnsiTheme="minorHAnsi" w:cs="Simplified Arabic"/>
          <w:sz w:val="12"/>
          <w:szCs w:val="12"/>
        </w:rPr>
        <w:t xml:space="preserve"> the</w:t>
      </w:r>
      <w:r w:rsidRPr="00A17399">
        <w:rPr>
          <w:rFonts w:asciiTheme="minorHAnsi" w:hAnsiTheme="minorHAnsi" w:cs="Simplified Arabic"/>
          <w:sz w:val="12"/>
          <w:szCs w:val="12"/>
        </w:rPr>
        <w:t xml:space="preserve"> construction</w:t>
      </w:r>
      <w:r>
        <w:rPr>
          <w:rFonts w:asciiTheme="minorHAnsi" w:hAnsiTheme="minorHAnsi" w:cs="Simplified Arabic"/>
          <w:sz w:val="12"/>
          <w:szCs w:val="12"/>
        </w:rPr>
        <w:t xml:space="preserve"> sector</w:t>
      </w:r>
      <w:r w:rsidRPr="00A17399">
        <w:rPr>
          <w:rFonts w:asciiTheme="minorHAnsi" w:hAnsiTheme="minorHAnsi" w:cs="Simplified Arabic"/>
          <w:sz w:val="12"/>
          <w:szCs w:val="12"/>
        </w:rPr>
        <w:t>/individuals 2010/modified, according to the latest data from the Central Bank, 2010</w:t>
      </w:r>
      <w:r w:rsidRPr="00A17399">
        <w:rPr>
          <w:rFonts w:asciiTheme="minorHAnsi" w:hAnsiTheme="minorHAnsi" w:cs="Arial"/>
          <w:sz w:val="12"/>
          <w:szCs w:val="12"/>
        </w:rPr>
        <w:t>.</w:t>
      </w:r>
    </w:p>
  </w:footnote>
  <w:footnote w:id="5">
    <w:p w:rsidR="000E27DE" w:rsidRDefault="000E27DE" w:rsidP="0050007D">
      <w:pPr>
        <w:pStyle w:val="FootnoteText"/>
        <w:bidi w:val="0"/>
      </w:pPr>
      <w:r>
        <w:rPr>
          <w:rStyle w:val="FootnoteReference"/>
        </w:rPr>
        <w:footnoteRef/>
      </w:r>
      <w:proofErr w:type="gramStart"/>
      <w:r w:rsidRPr="00A17399">
        <w:rPr>
          <w:rFonts w:asciiTheme="minorHAnsi" w:hAnsiTheme="minorHAnsi" w:cs="Simplified Arabic"/>
          <w:sz w:val="12"/>
          <w:szCs w:val="12"/>
          <w:lang w:bidi="ar-JO"/>
        </w:rPr>
        <w:t>Formally books from multiple sources.</w:t>
      </w:r>
      <w:proofErr w:type="gramEnd"/>
      <w:r>
        <w:rPr>
          <w:rtl/>
        </w:rPr>
        <w:t xml:space="preserve"> </w:t>
      </w:r>
    </w:p>
  </w:footnote>
  <w:footnote w:id="6">
    <w:p w:rsidR="000E27DE" w:rsidRDefault="000E27DE" w:rsidP="0050007D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17399">
        <w:rPr>
          <w:rFonts w:asciiTheme="minorHAnsi" w:hAnsiTheme="minorHAnsi" w:cs="Simplified Arabic"/>
          <w:sz w:val="12"/>
          <w:szCs w:val="12"/>
        </w:rPr>
        <w:t>The total represents only the data obtained</w:t>
      </w:r>
      <w:r w:rsidRPr="00A17399">
        <w:rPr>
          <w:rFonts w:asciiTheme="minorHAnsi" w:hAnsiTheme="minorHAnsi" w:cs="Calibri"/>
        </w:rPr>
        <w:t xml:space="preserve"> </w:t>
      </w:r>
      <w:r w:rsidRPr="00A17399">
        <w:rPr>
          <w:rFonts w:asciiTheme="minorHAnsi" w:hAnsiTheme="minorHAnsi" w:cs="Simplified Arabic"/>
          <w:sz w:val="12"/>
          <w:szCs w:val="12"/>
        </w:rPr>
        <w:t>for the year (2010)</w:t>
      </w:r>
      <w:r w:rsidRPr="00A17399">
        <w:rPr>
          <w:rFonts w:asciiTheme="minorHAnsi" w:hAnsiTheme="minorHAnsi" w:cs="Arial"/>
        </w:rPr>
        <w:t>.</w:t>
      </w:r>
    </w:p>
  </w:footnote>
  <w:footnote w:id="7">
    <w:p w:rsidR="000E27DE" w:rsidRPr="00A17399" w:rsidRDefault="000E27DE" w:rsidP="004D6A7B">
      <w:pPr>
        <w:bidi w:val="0"/>
        <w:spacing w:after="0" w:line="240" w:lineRule="auto"/>
        <w:ind w:left="142" w:hanging="142"/>
        <w:rPr>
          <w:rFonts w:ascii="Calibri" w:eastAsia="Times New Roman" w:hAnsi="Calibri" w:cs="Calibri"/>
          <w:sz w:val="20"/>
          <w:szCs w:val="20"/>
          <w:rtl/>
          <w:lang w:bidi="ar-JO"/>
        </w:rPr>
      </w:pPr>
      <w:r w:rsidRPr="004F177E">
        <w:rPr>
          <w:rStyle w:val="FootnoteReference"/>
          <w:sz w:val="20"/>
          <w:szCs w:val="20"/>
        </w:rPr>
        <w:footnoteRef/>
      </w:r>
      <w:r w:rsidRPr="00A17399">
        <w:rPr>
          <w:rFonts w:eastAsia="Times New Roman" w:cs="Simplified Arabic"/>
          <w:sz w:val="12"/>
          <w:szCs w:val="12"/>
        </w:rPr>
        <w:t>Leasing of real estate including residential and non-residential, and the name of the ind</w:t>
      </w:r>
      <w:r>
        <w:rPr>
          <w:rFonts w:eastAsia="Times New Roman" w:cs="Simplified Arabic"/>
          <w:sz w:val="12"/>
          <w:szCs w:val="12"/>
        </w:rPr>
        <w:t>icator has been modified</w:t>
      </w:r>
      <w:r w:rsidRPr="00A17399">
        <w:rPr>
          <w:rFonts w:eastAsia="Times New Roman" w:cs="Simplified Arabic"/>
          <w:sz w:val="12"/>
          <w:szCs w:val="12"/>
        </w:rPr>
        <w:t xml:space="preserve"> to reflect the value of real estate leasing contracts and not the </w:t>
      </w:r>
      <w:r>
        <w:rPr>
          <w:rFonts w:eastAsia="Times New Roman" w:cs="Simplified Arabic"/>
          <w:sz w:val="12"/>
          <w:szCs w:val="12"/>
        </w:rPr>
        <w:t>ratio</w:t>
      </w:r>
      <w:r w:rsidRPr="00A17399">
        <w:rPr>
          <w:rFonts w:eastAsia="Times New Roman" w:cs="Simplified Arabic"/>
          <w:sz w:val="12"/>
          <w:szCs w:val="12"/>
        </w:rPr>
        <w:t xml:space="preserve"> of leasing contracts.</w:t>
      </w:r>
    </w:p>
  </w:footnote>
  <w:footnote w:id="8">
    <w:p w:rsidR="000E27DE" w:rsidRDefault="000E27DE" w:rsidP="00091F84">
      <w:pPr>
        <w:pStyle w:val="FootnoteText"/>
        <w:bidi w:val="0"/>
      </w:pPr>
      <w:r>
        <w:rPr>
          <w:rStyle w:val="FootnoteReference"/>
        </w:rPr>
        <w:footnoteRef/>
      </w:r>
      <w:r w:rsidRPr="00A17399">
        <w:rPr>
          <w:rFonts w:asciiTheme="minorHAnsi" w:hAnsiTheme="minorHAnsi" w:cs="Simplified Arabic"/>
          <w:sz w:val="12"/>
          <w:szCs w:val="12"/>
        </w:rPr>
        <w:t>The figure was calculated from the study of</w:t>
      </w:r>
      <w:r w:rsidRPr="00A17399">
        <w:rPr>
          <w:rFonts w:asciiTheme="minorHAnsi" w:hAnsiTheme="minorHAnsi" w:cs="Calibri"/>
        </w:rPr>
        <w:t xml:space="preserve"> </w:t>
      </w:r>
      <w:r w:rsidRPr="00A17399">
        <w:rPr>
          <w:rFonts w:asciiTheme="minorHAnsi" w:hAnsiTheme="minorHAnsi" w:cs="Simplified Arabic"/>
          <w:sz w:val="12"/>
          <w:szCs w:val="12"/>
          <w:lang w:bidi="ar-JO"/>
        </w:rPr>
        <w:t xml:space="preserve">leasing in the Jordan/IFC </w:t>
      </w:r>
      <w:proofErr w:type="gramStart"/>
      <w:r w:rsidRPr="00A17399">
        <w:rPr>
          <w:rFonts w:asciiTheme="minorHAnsi" w:hAnsiTheme="minorHAnsi" w:cs="Simplified Arabic"/>
          <w:sz w:val="12"/>
          <w:szCs w:val="12"/>
          <w:lang w:bidi="ar-JO"/>
        </w:rPr>
        <w:t xml:space="preserve">( </w:t>
      </w:r>
      <w:r w:rsidRPr="00A17399">
        <w:rPr>
          <w:rFonts w:asciiTheme="minorHAnsi" w:hAnsiTheme="minorHAnsi" w:cs="Calibri"/>
          <w:sz w:val="12"/>
          <w:szCs w:val="12"/>
        </w:rPr>
        <w:t>I.F.C</w:t>
      </w:r>
      <w:proofErr w:type="gramEnd"/>
      <w:r w:rsidRPr="00A17399">
        <w:rPr>
          <w:rFonts w:asciiTheme="minorHAnsi" w:hAnsiTheme="minorHAnsi" w:cs="Simplified Arabic"/>
          <w:sz w:val="12"/>
          <w:szCs w:val="12"/>
          <w:lang w:bidi="ar-JO"/>
        </w:rPr>
        <w:t>)</w:t>
      </w:r>
      <w:r w:rsidRPr="00A17399">
        <w:rPr>
          <w:rFonts w:asciiTheme="minorHAnsi" w:hAnsiTheme="minorHAnsi" w:cs="Calibri"/>
        </w:rPr>
        <w:t xml:space="preserve"> </w:t>
      </w:r>
      <w:r w:rsidRPr="00A17399">
        <w:rPr>
          <w:rFonts w:asciiTheme="minorHAnsi" w:hAnsiTheme="minorHAnsi" w:cs="Simplified Arabic"/>
          <w:sz w:val="12"/>
          <w:szCs w:val="12"/>
          <w:lang w:bidi="ar-JO"/>
        </w:rPr>
        <w:t xml:space="preserve">where the total amount of leasing for that year (170) </w:t>
      </w:r>
      <w:r>
        <w:rPr>
          <w:rFonts w:asciiTheme="minorHAnsi" w:hAnsiTheme="minorHAnsi" w:cs="Simplified Arabic"/>
          <w:sz w:val="12"/>
          <w:szCs w:val="12"/>
          <w:lang w:bidi="ar-JO"/>
        </w:rPr>
        <w:t>MJD</w:t>
      </w:r>
      <w:r w:rsidRPr="00A17399">
        <w:rPr>
          <w:rFonts w:asciiTheme="minorHAnsi" w:hAnsiTheme="minorHAnsi" w:cs="Simplified Arabic"/>
          <w:sz w:val="12"/>
          <w:szCs w:val="12"/>
          <w:lang w:bidi="ar-JO"/>
        </w:rPr>
        <w:t xml:space="preserve"> and (60)% leasing real estate.</w:t>
      </w:r>
      <w:r>
        <w:rPr>
          <w:rtl/>
        </w:rPr>
        <w:t xml:space="preserve"> </w:t>
      </w:r>
    </w:p>
  </w:footnote>
  <w:footnote w:id="9">
    <w:p w:rsidR="000E27DE" w:rsidRPr="00436A5C" w:rsidRDefault="000E27DE" w:rsidP="004F177E">
      <w:pPr>
        <w:bidi w:val="0"/>
        <w:spacing w:after="0" w:line="240" w:lineRule="auto"/>
        <w:ind w:left="142" w:right="-6" w:hanging="142"/>
        <w:rPr>
          <w:rFonts w:ascii="Calibri" w:eastAsia="Times New Roman" w:hAnsi="Calibri" w:cs="Calibri"/>
        </w:rPr>
      </w:pPr>
      <w:r w:rsidRPr="004F177E">
        <w:rPr>
          <w:rStyle w:val="FootnoteReference"/>
          <w:sz w:val="20"/>
          <w:szCs w:val="20"/>
        </w:rPr>
        <w:footnoteRef/>
      </w:r>
      <w:r w:rsidRPr="004F177E">
        <w:rPr>
          <w:rFonts w:cs="Simplified Arabic"/>
          <w:sz w:val="20"/>
          <w:szCs w:val="20"/>
        </w:rPr>
        <w:t xml:space="preserve"> </w:t>
      </w:r>
      <w:r>
        <w:rPr>
          <w:rFonts w:cs="Simplified Arabic"/>
          <w:sz w:val="12"/>
          <w:szCs w:val="12"/>
        </w:rPr>
        <w:t>Data source: Ministry Of Finance / General Budget Department</w:t>
      </w:r>
      <w:r w:rsidRPr="00A17399">
        <w:rPr>
          <w:sz w:val="12"/>
          <w:szCs w:val="12"/>
          <w:lang w:bidi="ar-JO"/>
        </w:rPr>
        <w:t>.</w:t>
      </w:r>
    </w:p>
    <w:p w:rsidR="000E27DE" w:rsidRPr="00A17399" w:rsidRDefault="000E27DE" w:rsidP="00091F84">
      <w:pPr>
        <w:bidi w:val="0"/>
        <w:spacing w:after="0" w:line="240" w:lineRule="auto"/>
        <w:ind w:firstLine="142"/>
        <w:rPr>
          <w:rFonts w:eastAsia="Times New Roman" w:cs="Calibri"/>
          <w:sz w:val="20"/>
          <w:szCs w:val="20"/>
        </w:rPr>
      </w:pPr>
      <w:r w:rsidRPr="00A17399">
        <w:rPr>
          <w:rFonts w:eastAsia="Times New Roman" w:cs="Simplified Arabic"/>
          <w:sz w:val="12"/>
          <w:szCs w:val="12"/>
        </w:rPr>
        <w:t xml:space="preserve">Note: data quarterly credit facilities </w:t>
      </w:r>
      <w:r>
        <w:rPr>
          <w:rFonts w:cs="Simplified Arabic"/>
          <w:sz w:val="12"/>
          <w:szCs w:val="12"/>
        </w:rPr>
        <w:t>extended</w:t>
      </w:r>
      <w:r w:rsidRPr="00A17399">
        <w:rPr>
          <w:rFonts w:eastAsia="Times New Roman" w:cs="Simplified Arabic"/>
          <w:sz w:val="12"/>
          <w:szCs w:val="12"/>
        </w:rPr>
        <w:t xml:space="preserve"> by licensed banks for the construction sector and individuals are cumulative.</w:t>
      </w:r>
    </w:p>
    <w:p w:rsidR="000E27DE" w:rsidRDefault="000E27DE" w:rsidP="0050007D">
      <w:pPr>
        <w:pStyle w:val="FootnoteText"/>
        <w:bidi w:val="0"/>
      </w:pPr>
    </w:p>
  </w:footnote>
  <w:footnote w:id="10">
    <w:p w:rsidR="000E27DE" w:rsidRDefault="000E27DE" w:rsidP="00A17399">
      <w:pPr>
        <w:pStyle w:val="FootnoteText"/>
        <w:bidi w:val="0"/>
      </w:pPr>
      <w:r>
        <w:rPr>
          <w:rStyle w:val="FootnoteReference"/>
        </w:rPr>
        <w:footnoteRef/>
      </w:r>
      <w:r w:rsidRPr="00992264">
        <w:rPr>
          <w:rFonts w:asciiTheme="minorHAnsi" w:hAnsiTheme="minorHAnsi" w:cs="Simplified Arabic"/>
          <w:sz w:val="12"/>
          <w:szCs w:val="12"/>
          <w:lang w:bidi="ar-JO"/>
        </w:rPr>
        <w:t>Housing inventory data for the years 2006, 2008, 2010 represents a sample survey.</w:t>
      </w:r>
      <w:r>
        <w:rPr>
          <w:rtl/>
        </w:rPr>
        <w:t xml:space="preserve"> </w:t>
      </w:r>
    </w:p>
  </w:footnote>
  <w:footnote w:id="11">
    <w:p w:rsidR="000E27DE" w:rsidRDefault="000E27DE" w:rsidP="00A17399">
      <w:pPr>
        <w:pStyle w:val="FootnoteText"/>
        <w:bidi w:val="0"/>
      </w:pPr>
      <w:r>
        <w:rPr>
          <w:rStyle w:val="FootnoteReference"/>
        </w:rPr>
        <w:footnoteRef/>
      </w:r>
      <w:r w:rsidRPr="00992264">
        <w:rPr>
          <w:rFonts w:asciiTheme="minorHAnsi" w:hAnsiTheme="minorHAnsi" w:cs="Simplified Arabic"/>
          <w:sz w:val="12"/>
          <w:szCs w:val="12"/>
          <w:lang w:bidi="ar-JO"/>
        </w:rPr>
        <w:t>This figure does not include collective housing type (workplace, under construction and others).</w:t>
      </w:r>
      <w:r>
        <w:rPr>
          <w:rtl/>
        </w:rPr>
        <w:t xml:space="preserve"> </w:t>
      </w:r>
    </w:p>
  </w:footnote>
  <w:footnote w:id="12">
    <w:p w:rsidR="000E27DE" w:rsidRDefault="000E27DE" w:rsidP="001C62C7">
      <w:pPr>
        <w:pStyle w:val="FootnoteText"/>
        <w:tabs>
          <w:tab w:val="left" w:pos="6624"/>
        </w:tabs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gramStart"/>
      <w:r w:rsidRPr="00992264">
        <w:rPr>
          <w:rFonts w:asciiTheme="minorHAnsi" w:hAnsiTheme="minorHAnsi" w:cs="Simplified Arabic"/>
          <w:sz w:val="12"/>
          <w:szCs w:val="12"/>
          <w:lang w:bidi="ar-JO"/>
        </w:rPr>
        <w:t>Includes rent</w:t>
      </w:r>
      <w:r>
        <w:rPr>
          <w:rFonts w:asciiTheme="minorHAnsi" w:hAnsiTheme="minorHAnsi" w:cs="Simplified Arabic"/>
          <w:sz w:val="12"/>
          <w:szCs w:val="12"/>
          <w:lang w:bidi="ar-JO"/>
        </w:rPr>
        <w:t>ed furnished and unfurnished</w:t>
      </w:r>
      <w:r w:rsidRPr="00992264">
        <w:rPr>
          <w:rFonts w:asciiTheme="minorHAnsi" w:hAnsiTheme="minorHAnsi" w:cs="Simplified Arabic"/>
          <w:sz w:val="12"/>
          <w:szCs w:val="12"/>
          <w:lang w:bidi="ar-JO"/>
        </w:rPr>
        <w:t xml:space="preserve"> housing.</w:t>
      </w:r>
      <w:proofErr w:type="gramEnd"/>
      <w:r>
        <w:tab/>
      </w:r>
    </w:p>
  </w:footnote>
  <w:footnote w:id="13">
    <w:p w:rsidR="000E27DE" w:rsidRPr="00992264" w:rsidRDefault="000E27DE" w:rsidP="00A84325">
      <w:pPr>
        <w:bidi w:val="0"/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  <w:r w:rsidRPr="00DC79C6">
        <w:rPr>
          <w:rStyle w:val="FootnoteReference"/>
          <w:sz w:val="20"/>
          <w:szCs w:val="20"/>
        </w:rPr>
        <w:footnoteRef/>
      </w:r>
      <w:r>
        <w:rPr>
          <w:rtl/>
        </w:rPr>
        <w:t xml:space="preserve"> </w:t>
      </w:r>
      <w:r>
        <w:rPr>
          <w:rFonts w:eastAsia="Times New Roman" w:cs="Simplified Arabic"/>
          <w:sz w:val="12"/>
          <w:szCs w:val="12"/>
        </w:rPr>
        <w:t xml:space="preserve">Median </w:t>
      </w:r>
      <w:proofErr w:type="gramStart"/>
      <w:r>
        <w:rPr>
          <w:rFonts w:eastAsia="Times New Roman" w:cs="Simplified Arabic"/>
          <w:sz w:val="12"/>
          <w:szCs w:val="12"/>
        </w:rPr>
        <w:t>housing  area</w:t>
      </w:r>
      <w:proofErr w:type="gramEnd"/>
      <w:r>
        <w:rPr>
          <w:rFonts w:eastAsia="Times New Roman" w:cs="Simplified Arabic"/>
          <w:sz w:val="12"/>
          <w:szCs w:val="12"/>
        </w:rPr>
        <w:t xml:space="preserve"> </w:t>
      </w:r>
      <w:r w:rsidRPr="00992264">
        <w:rPr>
          <w:rFonts w:eastAsia="Times New Roman" w:cs="Simplified Arabic"/>
          <w:sz w:val="12"/>
          <w:szCs w:val="12"/>
        </w:rPr>
        <w:t xml:space="preserve"> for years (2006), (2008), according to the latest data from the Department of statistics.</w:t>
      </w:r>
    </w:p>
  </w:footnote>
  <w:footnote w:id="14">
    <w:p w:rsidR="000E27DE" w:rsidRDefault="000E27DE" w:rsidP="000963F6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92264">
        <w:rPr>
          <w:rFonts w:asciiTheme="minorHAnsi" w:hAnsiTheme="minorHAnsi" w:cs="Simplified Arabic"/>
          <w:sz w:val="12"/>
          <w:szCs w:val="12"/>
        </w:rPr>
        <w:t>Modified upon re</w:t>
      </w:r>
      <w:r>
        <w:rPr>
          <w:rFonts w:asciiTheme="minorHAnsi" w:hAnsiTheme="minorHAnsi" w:cs="Simplified Arabic"/>
          <w:sz w:val="12"/>
          <w:szCs w:val="12"/>
        </w:rPr>
        <w:t>-calculated</w:t>
      </w:r>
      <w:r w:rsidRPr="00992264">
        <w:rPr>
          <w:rFonts w:asciiTheme="minorHAnsi" w:hAnsiTheme="minorHAnsi" w:cs="Simplified Arabic"/>
          <w:sz w:val="12"/>
          <w:szCs w:val="12"/>
        </w:rPr>
        <w:t xml:space="preserve"> of </w:t>
      </w:r>
      <w:r>
        <w:rPr>
          <w:rFonts w:cs="Simplified Arabic"/>
          <w:sz w:val="12"/>
          <w:szCs w:val="12"/>
        </w:rPr>
        <w:t xml:space="preserve">median housing </w:t>
      </w:r>
      <w:proofErr w:type="gramStart"/>
      <w:r>
        <w:rPr>
          <w:rFonts w:cs="Simplified Arabic"/>
          <w:sz w:val="12"/>
          <w:szCs w:val="12"/>
        </w:rPr>
        <w:t xml:space="preserve">area </w:t>
      </w:r>
      <w:r w:rsidRPr="00992264">
        <w:rPr>
          <w:rFonts w:cs="Simplified Arabic"/>
          <w:sz w:val="12"/>
          <w:szCs w:val="12"/>
        </w:rPr>
        <w:t xml:space="preserve"> </w:t>
      </w:r>
      <w:r w:rsidRPr="00992264">
        <w:rPr>
          <w:rFonts w:asciiTheme="minorHAnsi" w:hAnsiTheme="minorHAnsi" w:cs="Simplified Arabic"/>
          <w:sz w:val="12"/>
          <w:szCs w:val="12"/>
        </w:rPr>
        <w:t>.</w:t>
      </w:r>
      <w:proofErr w:type="gramEnd"/>
    </w:p>
  </w:footnote>
  <w:footnote w:id="15">
    <w:p w:rsidR="000E27DE" w:rsidRDefault="000E27DE" w:rsidP="00A81441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97177">
        <w:rPr>
          <w:rFonts w:asciiTheme="minorHAnsi" w:hAnsiTheme="minorHAnsi" w:cs="Simplified Arabic"/>
          <w:sz w:val="12"/>
          <w:szCs w:val="12"/>
        </w:rPr>
        <w:t>Jordan reports (total housing production includes the private sector</w:t>
      </w:r>
      <w:proofErr w:type="gramStart"/>
      <w:r>
        <w:rPr>
          <w:rFonts w:asciiTheme="minorHAnsi" w:hAnsiTheme="minorHAnsi" w:cs="Simplified Arabic"/>
          <w:sz w:val="12"/>
          <w:szCs w:val="12"/>
        </w:rPr>
        <w:t xml:space="preserve">, </w:t>
      </w:r>
      <w:r w:rsidRPr="00E97177">
        <w:rPr>
          <w:rFonts w:asciiTheme="minorHAnsi" w:hAnsiTheme="minorHAnsi" w:cs="Simplified Arabic"/>
          <w:sz w:val="12"/>
          <w:szCs w:val="12"/>
        </w:rPr>
        <w:t xml:space="preserve"> </w:t>
      </w:r>
      <w:r>
        <w:rPr>
          <w:rFonts w:asciiTheme="minorHAnsi" w:hAnsiTheme="minorHAnsi" w:cs="Simplified Arabic"/>
          <w:sz w:val="12"/>
          <w:szCs w:val="12"/>
        </w:rPr>
        <w:t>cooperative</w:t>
      </w:r>
      <w:proofErr w:type="gramEnd"/>
      <w:r>
        <w:rPr>
          <w:rFonts w:asciiTheme="minorHAnsi" w:hAnsiTheme="minorHAnsi" w:cs="Simplified Arabic"/>
          <w:sz w:val="12"/>
          <w:szCs w:val="12"/>
        </w:rPr>
        <w:t xml:space="preserve">,  </w:t>
      </w:r>
      <w:r w:rsidRPr="00E97177">
        <w:rPr>
          <w:rFonts w:asciiTheme="minorHAnsi" w:hAnsiTheme="minorHAnsi" w:cs="Simplified Arabic"/>
          <w:sz w:val="12"/>
          <w:szCs w:val="12"/>
        </w:rPr>
        <w:t>governmental</w:t>
      </w:r>
      <w:r>
        <w:rPr>
          <w:rFonts w:asciiTheme="minorHAnsi" w:hAnsiTheme="minorHAnsi" w:cs="Simplified Arabic"/>
          <w:sz w:val="12"/>
          <w:szCs w:val="12"/>
        </w:rPr>
        <w:t xml:space="preserve"> sector</w:t>
      </w:r>
      <w:r w:rsidRPr="00E97177">
        <w:rPr>
          <w:rFonts w:asciiTheme="minorHAnsi" w:hAnsiTheme="minorHAnsi" w:cs="Simplified Arabic"/>
          <w:sz w:val="12"/>
          <w:szCs w:val="12"/>
        </w:rPr>
        <w:t xml:space="preserve"> and other</w:t>
      </w:r>
      <w:r>
        <w:rPr>
          <w:rFonts w:asciiTheme="minorHAnsi" w:hAnsiTheme="minorHAnsi" w:cs="Simplified Arabic"/>
          <w:sz w:val="12"/>
          <w:szCs w:val="12"/>
        </w:rPr>
        <w:t>s</w:t>
      </w:r>
      <w:r w:rsidRPr="00E97177">
        <w:rPr>
          <w:rFonts w:asciiTheme="minorHAnsi" w:hAnsiTheme="minorHAnsi" w:cs="Simplified Arabic"/>
          <w:sz w:val="12"/>
          <w:szCs w:val="12"/>
        </w:rPr>
        <w:t>).</w:t>
      </w:r>
    </w:p>
  </w:footnote>
  <w:footnote w:id="16">
    <w:p w:rsidR="000E27DE" w:rsidRPr="00E97177" w:rsidRDefault="000E27DE" w:rsidP="00317B27">
      <w:pPr>
        <w:bidi w:val="0"/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  <w:r w:rsidRPr="00DC79C6">
        <w:rPr>
          <w:rStyle w:val="FootnoteReference"/>
          <w:sz w:val="20"/>
          <w:szCs w:val="20"/>
        </w:rPr>
        <w:footnoteRef/>
      </w:r>
      <w:r>
        <w:rPr>
          <w:rtl/>
        </w:rPr>
        <w:t xml:space="preserve"> </w:t>
      </w:r>
      <w:r w:rsidRPr="00E97177">
        <w:rPr>
          <w:rFonts w:eastAsia="Times New Roman" w:cs="Simplified Arabic"/>
          <w:sz w:val="12"/>
          <w:szCs w:val="12"/>
        </w:rPr>
        <w:t xml:space="preserve">Data </w:t>
      </w:r>
      <w:proofErr w:type="gramStart"/>
      <w:r>
        <w:rPr>
          <w:rFonts w:eastAsia="Times New Roman" w:cs="Simplified Arabic"/>
          <w:sz w:val="12"/>
          <w:szCs w:val="12"/>
        </w:rPr>
        <w:t xml:space="preserve">of </w:t>
      </w:r>
      <w:r w:rsidRPr="00E97177">
        <w:rPr>
          <w:rFonts w:eastAsia="Times New Roman" w:cs="Simplified Arabic"/>
          <w:sz w:val="12"/>
          <w:szCs w:val="12"/>
        </w:rPr>
        <w:t xml:space="preserve"> number</w:t>
      </w:r>
      <w:proofErr w:type="gramEnd"/>
      <w:r w:rsidRPr="00E97177">
        <w:rPr>
          <w:rFonts w:eastAsia="Times New Roman" w:cs="Simplified Arabic"/>
          <w:sz w:val="12"/>
          <w:szCs w:val="12"/>
        </w:rPr>
        <w:t xml:space="preserve"> of</w:t>
      </w:r>
      <w:r>
        <w:rPr>
          <w:rFonts w:eastAsia="Times New Roman" w:cs="Simplified Arabic"/>
          <w:sz w:val="12"/>
          <w:szCs w:val="12"/>
        </w:rPr>
        <w:t xml:space="preserve"> licensed dwellings (</w:t>
      </w:r>
      <w:r w:rsidRPr="00E97177">
        <w:rPr>
          <w:rFonts w:eastAsia="Times New Roman" w:cs="Simplified Arabic"/>
          <w:sz w:val="12"/>
          <w:szCs w:val="12"/>
        </w:rPr>
        <w:t xml:space="preserve"> housing units</w:t>
      </w:r>
      <w:r>
        <w:rPr>
          <w:rFonts w:eastAsia="Times New Roman" w:cs="Simplified Arabic"/>
          <w:sz w:val="12"/>
          <w:szCs w:val="12"/>
        </w:rPr>
        <w:t>)</w:t>
      </w:r>
      <w:r w:rsidRPr="00E97177">
        <w:rPr>
          <w:rFonts w:eastAsia="Times New Roman" w:cs="Simplified Arabic"/>
          <w:sz w:val="12"/>
          <w:szCs w:val="12"/>
        </w:rPr>
        <w:t xml:space="preserve"> </w:t>
      </w:r>
      <w:r>
        <w:rPr>
          <w:rFonts w:eastAsia="Times New Roman" w:cs="Simplified Arabic"/>
          <w:sz w:val="12"/>
          <w:szCs w:val="12"/>
        </w:rPr>
        <w:t xml:space="preserve">from the </w:t>
      </w:r>
      <w:r w:rsidRPr="00E97177">
        <w:rPr>
          <w:rFonts w:eastAsia="Times New Roman" w:cs="Simplified Arabic"/>
          <w:sz w:val="12"/>
          <w:szCs w:val="12"/>
        </w:rPr>
        <w:t xml:space="preserve"> total housing production has been modified</w:t>
      </w:r>
      <w:r>
        <w:rPr>
          <w:rFonts w:eastAsia="Times New Roman" w:cs="Simplified Arabic"/>
          <w:sz w:val="12"/>
          <w:szCs w:val="12"/>
        </w:rPr>
        <w:t xml:space="preserve"> for the years </w:t>
      </w:r>
      <w:r w:rsidRPr="00E97177">
        <w:rPr>
          <w:rFonts w:eastAsia="Times New Roman" w:cs="Simplified Arabic"/>
          <w:sz w:val="12"/>
          <w:szCs w:val="12"/>
        </w:rPr>
        <w:t xml:space="preserve"> (200</w:t>
      </w:r>
      <w:r>
        <w:rPr>
          <w:rFonts w:eastAsia="Times New Roman" w:cs="Simplified Arabic"/>
          <w:sz w:val="12"/>
          <w:szCs w:val="12"/>
        </w:rPr>
        <w:t>4</w:t>
      </w:r>
      <w:r w:rsidRPr="00E97177">
        <w:rPr>
          <w:rFonts w:eastAsia="Times New Roman" w:cs="Simplified Arabic"/>
          <w:sz w:val="12"/>
          <w:szCs w:val="12"/>
        </w:rPr>
        <w:t>, 200</w:t>
      </w:r>
      <w:r>
        <w:rPr>
          <w:rFonts w:eastAsia="Times New Roman" w:cs="Simplified Arabic"/>
          <w:sz w:val="12"/>
          <w:szCs w:val="12"/>
        </w:rPr>
        <w:t>6</w:t>
      </w:r>
      <w:r w:rsidRPr="00E97177">
        <w:rPr>
          <w:rFonts w:eastAsia="Times New Roman" w:cs="Simplified Arabic"/>
          <w:sz w:val="12"/>
          <w:szCs w:val="12"/>
        </w:rPr>
        <w:t xml:space="preserve">) </w:t>
      </w:r>
      <w:r>
        <w:rPr>
          <w:rFonts w:eastAsia="Times New Roman" w:cs="Simplified Arabic"/>
          <w:sz w:val="12"/>
          <w:szCs w:val="12"/>
        </w:rPr>
        <w:t xml:space="preserve">from </w:t>
      </w:r>
      <w:r w:rsidRPr="00E97177">
        <w:rPr>
          <w:rFonts w:eastAsia="Times New Roman" w:cs="Simplified Arabic"/>
          <w:sz w:val="12"/>
          <w:szCs w:val="12"/>
        </w:rPr>
        <w:t>Jordan</w:t>
      </w:r>
      <w:r>
        <w:rPr>
          <w:rFonts w:eastAsia="Times New Roman" w:cs="Simplified Arabic"/>
          <w:sz w:val="12"/>
          <w:szCs w:val="12"/>
        </w:rPr>
        <w:t xml:space="preserve"> </w:t>
      </w:r>
      <w:r w:rsidRPr="00E97177">
        <w:rPr>
          <w:rFonts w:eastAsia="Times New Roman" w:cs="Simplified Arabic"/>
          <w:sz w:val="12"/>
          <w:szCs w:val="12"/>
        </w:rPr>
        <w:t>reports in figures.</w:t>
      </w:r>
    </w:p>
  </w:footnote>
  <w:footnote w:id="17">
    <w:p w:rsidR="000E27DE" w:rsidRDefault="000E27DE" w:rsidP="00A54C7F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97177">
        <w:rPr>
          <w:rFonts w:asciiTheme="minorHAnsi" w:hAnsiTheme="minorHAnsi" w:cs="Simplified Arabic"/>
          <w:sz w:val="12"/>
          <w:szCs w:val="12"/>
          <w:lang w:bidi="ar-JO"/>
        </w:rPr>
        <w:t>Construction statistics/table number (3</w:t>
      </w:r>
      <w:r>
        <w:rPr>
          <w:rFonts w:asciiTheme="minorHAnsi" w:hAnsiTheme="minorHAnsi" w:cs="Simplified Arabic"/>
          <w:sz w:val="12"/>
          <w:szCs w:val="12"/>
          <w:lang w:bidi="ar-JO"/>
        </w:rPr>
        <w:t>.</w:t>
      </w:r>
      <w:r w:rsidRPr="00E97177">
        <w:rPr>
          <w:rFonts w:asciiTheme="minorHAnsi" w:hAnsiTheme="minorHAnsi" w:cs="Simplified Arabic"/>
          <w:sz w:val="12"/>
          <w:szCs w:val="12"/>
          <w:lang w:bidi="ar-JO"/>
        </w:rPr>
        <w:t>2).</w:t>
      </w:r>
      <w:r>
        <w:rPr>
          <w:rtl/>
        </w:rPr>
        <w:t xml:space="preserve"> </w:t>
      </w:r>
    </w:p>
    <w:p w:rsidR="000E27DE" w:rsidRPr="00F93E64" w:rsidRDefault="000E27DE" w:rsidP="00F93E64">
      <w:pPr>
        <w:pStyle w:val="FootnoteText"/>
        <w:bidi w:val="0"/>
        <w:rPr>
          <w:sz w:val="2"/>
          <w:szCs w:val="2"/>
        </w:rPr>
      </w:pPr>
    </w:p>
  </w:footnote>
  <w:footnote w:id="18">
    <w:p w:rsidR="000E27DE" w:rsidRDefault="000E27DE" w:rsidP="00A54C7F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97177">
        <w:rPr>
          <w:rFonts w:asciiTheme="minorHAnsi" w:hAnsiTheme="minorHAnsi" w:cs="Simplified Arabic"/>
          <w:sz w:val="12"/>
          <w:szCs w:val="12"/>
        </w:rPr>
        <w:t>Construction statistics/</w:t>
      </w:r>
      <w:r w:rsidRPr="00E3257F">
        <w:rPr>
          <w:rFonts w:asciiTheme="minorHAnsi" w:hAnsiTheme="minorHAnsi" w:cs="Simplified Arabic"/>
          <w:sz w:val="12"/>
          <w:szCs w:val="12"/>
          <w:lang w:bidi="ar-JO"/>
        </w:rPr>
        <w:t xml:space="preserve"> </w:t>
      </w:r>
      <w:r w:rsidRPr="00E97177">
        <w:rPr>
          <w:rFonts w:asciiTheme="minorHAnsi" w:hAnsiTheme="minorHAnsi" w:cs="Simplified Arabic"/>
          <w:sz w:val="12"/>
          <w:szCs w:val="12"/>
          <w:lang w:bidi="ar-JO"/>
        </w:rPr>
        <w:t>table number</w:t>
      </w:r>
      <w:r w:rsidRPr="00E97177">
        <w:rPr>
          <w:rFonts w:asciiTheme="minorHAnsi" w:hAnsiTheme="minorHAnsi" w:cs="Simplified Arabic"/>
          <w:sz w:val="12"/>
          <w:szCs w:val="12"/>
        </w:rPr>
        <w:t xml:space="preserve"> (2</w:t>
      </w:r>
      <w:r>
        <w:rPr>
          <w:rFonts w:asciiTheme="minorHAnsi" w:hAnsiTheme="minorHAnsi" w:cs="Simplified Arabic"/>
          <w:sz w:val="12"/>
          <w:szCs w:val="12"/>
        </w:rPr>
        <w:t>.8</w:t>
      </w:r>
      <w:r w:rsidRPr="00E97177">
        <w:rPr>
          <w:rFonts w:asciiTheme="minorHAnsi" w:hAnsiTheme="minorHAnsi" w:cs="Simplified Arabic"/>
          <w:sz w:val="12"/>
          <w:szCs w:val="12"/>
        </w:rPr>
        <w:t>).</w:t>
      </w:r>
    </w:p>
  </w:footnote>
  <w:footnote w:id="19">
    <w:p w:rsidR="000E27DE" w:rsidRDefault="000E27DE" w:rsidP="002166EF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 </w:t>
      </w:r>
      <w:proofErr w:type="gramStart"/>
      <w:r w:rsidRPr="006D3755">
        <w:rPr>
          <w:rFonts w:asciiTheme="minorHAnsi" w:hAnsiTheme="minorHAnsi" w:cs="Simplified Arabic"/>
          <w:sz w:val="12"/>
          <w:szCs w:val="12"/>
        </w:rPr>
        <w:t>Modified according to the latest data</w:t>
      </w:r>
      <w:r>
        <w:rPr>
          <w:rFonts w:asciiTheme="minorHAnsi" w:hAnsiTheme="minorHAnsi" w:cs="Simplified Arabic"/>
          <w:sz w:val="12"/>
          <w:szCs w:val="12"/>
        </w:rPr>
        <w:t xml:space="preserve"> from </w:t>
      </w:r>
      <w:r w:rsidRPr="008E4575">
        <w:rPr>
          <w:rFonts w:cs="Simplified Arabic"/>
          <w:sz w:val="12"/>
          <w:szCs w:val="12"/>
          <w:lang w:bidi="ar-JO"/>
        </w:rPr>
        <w:t>The Department of statistics</w:t>
      </w:r>
      <w:r>
        <w:rPr>
          <w:rFonts w:cs="Simplified Arabic"/>
          <w:sz w:val="12"/>
          <w:szCs w:val="12"/>
          <w:lang w:bidi="ar-JO"/>
        </w:rPr>
        <w:t>.</w:t>
      </w:r>
      <w:proofErr w:type="gramEnd"/>
    </w:p>
  </w:footnote>
  <w:footnote w:id="20">
    <w:p w:rsidR="000E27DE" w:rsidRDefault="000E27DE" w:rsidP="00141A02">
      <w:pPr>
        <w:pStyle w:val="FootnoteText"/>
        <w:bidi w:val="0"/>
      </w:pPr>
      <w:r>
        <w:rPr>
          <w:rStyle w:val="FootnoteReference"/>
        </w:rPr>
        <w:footnoteRef/>
      </w:r>
      <w:proofErr w:type="gramStart"/>
      <w:r w:rsidRPr="00E97177">
        <w:rPr>
          <w:rFonts w:asciiTheme="minorHAnsi" w:hAnsiTheme="minorHAnsi" w:cs="Simplified Arabic"/>
          <w:sz w:val="12"/>
          <w:szCs w:val="12"/>
        </w:rPr>
        <w:t>A</w:t>
      </w:r>
      <w:r>
        <w:rPr>
          <w:rFonts w:asciiTheme="minorHAnsi" w:hAnsiTheme="minorHAnsi" w:cs="Simplified Arabic"/>
          <w:sz w:val="12"/>
          <w:szCs w:val="12"/>
        </w:rPr>
        <w:t>ccording to sales</w:t>
      </w:r>
      <w:r w:rsidRPr="00E97177">
        <w:rPr>
          <w:rFonts w:asciiTheme="minorHAnsi" w:hAnsiTheme="minorHAnsi" w:cs="Simplified Arabic"/>
          <w:sz w:val="12"/>
          <w:szCs w:val="12"/>
        </w:rPr>
        <w:t xml:space="preserve"> contracts in the market</w:t>
      </w:r>
      <w:r>
        <w:rPr>
          <w:rFonts w:asciiTheme="minorHAnsi" w:hAnsiTheme="minorHAnsi" w:cs="Simplified Arabic"/>
          <w:sz w:val="12"/>
          <w:szCs w:val="12"/>
        </w:rPr>
        <w:t xml:space="preserve"> </w:t>
      </w:r>
      <w:r w:rsidRPr="00E97177">
        <w:rPr>
          <w:rFonts w:asciiTheme="minorHAnsi" w:hAnsiTheme="minorHAnsi" w:cs="Simplified Arabic"/>
          <w:sz w:val="12"/>
          <w:szCs w:val="12"/>
        </w:rPr>
        <w:t>/DLs.</w:t>
      </w:r>
      <w:proofErr w:type="gramEnd"/>
      <w:r>
        <w:rPr>
          <w:rtl/>
        </w:rPr>
        <w:t xml:space="preserve"> </w:t>
      </w:r>
    </w:p>
  </w:footnote>
  <w:footnote w:id="21">
    <w:p w:rsidR="000E27DE" w:rsidRDefault="000E27DE" w:rsidP="003A31AF">
      <w:pPr>
        <w:pStyle w:val="FootnoteText"/>
        <w:bidi w:val="0"/>
        <w:ind w:left="142" w:hanging="142"/>
      </w:pPr>
      <w:r>
        <w:rPr>
          <w:rStyle w:val="FootnoteReference"/>
        </w:rPr>
        <w:footnoteRef/>
      </w:r>
      <w:r w:rsidRPr="00E97177">
        <w:rPr>
          <w:rFonts w:asciiTheme="minorHAnsi" w:hAnsiTheme="minorHAnsi" w:cs="Simplified Arabic"/>
          <w:sz w:val="12"/>
          <w:szCs w:val="12"/>
        </w:rPr>
        <w:t xml:space="preserve"> </w:t>
      </w:r>
      <w:r>
        <w:rPr>
          <w:rFonts w:asciiTheme="minorHAnsi" w:hAnsiTheme="minorHAnsi" w:cs="Simplified Arabic"/>
          <w:sz w:val="12"/>
          <w:szCs w:val="12"/>
        </w:rPr>
        <w:t>T</w:t>
      </w:r>
      <w:r w:rsidRPr="00E97177">
        <w:rPr>
          <w:rFonts w:asciiTheme="minorHAnsi" w:hAnsiTheme="minorHAnsi" w:cs="Simplified Arabic"/>
          <w:sz w:val="12"/>
          <w:szCs w:val="12"/>
        </w:rPr>
        <w:t xml:space="preserve">he organized private sector contribution ratio of total housing production for </w:t>
      </w:r>
      <w:proofErr w:type="gramStart"/>
      <w:r w:rsidRPr="00E97177">
        <w:rPr>
          <w:rFonts w:asciiTheme="minorHAnsi" w:hAnsiTheme="minorHAnsi" w:cs="Simplified Arabic"/>
          <w:sz w:val="12"/>
          <w:szCs w:val="12"/>
        </w:rPr>
        <w:t>years</w:t>
      </w:r>
      <w:proofErr w:type="gramEnd"/>
      <w:r w:rsidRPr="00E97177">
        <w:rPr>
          <w:rFonts w:asciiTheme="minorHAnsi" w:hAnsiTheme="minorHAnsi" w:cs="Simplified Arabic"/>
          <w:sz w:val="12"/>
          <w:szCs w:val="12"/>
        </w:rPr>
        <w:t xml:space="preserve"> compar</w:t>
      </w:r>
      <w:r>
        <w:rPr>
          <w:rFonts w:asciiTheme="minorHAnsi" w:hAnsiTheme="minorHAnsi" w:cs="Simplified Arabic"/>
          <w:sz w:val="12"/>
          <w:szCs w:val="12"/>
        </w:rPr>
        <w:t xml:space="preserve">ison </w:t>
      </w:r>
      <w:r w:rsidRPr="00373CF9">
        <w:rPr>
          <w:sz w:val="12"/>
          <w:szCs w:val="12"/>
          <w:lang w:bidi="ar-JO"/>
        </w:rPr>
        <w:t>has been</w:t>
      </w:r>
      <w:r>
        <w:rPr>
          <w:rtl/>
        </w:rPr>
        <w:t xml:space="preserve"> </w:t>
      </w:r>
      <w:r>
        <w:rPr>
          <w:rFonts w:asciiTheme="minorHAnsi" w:hAnsiTheme="minorHAnsi" w:cs="Simplified Arabic"/>
          <w:sz w:val="12"/>
          <w:szCs w:val="12"/>
        </w:rPr>
        <w:t>m</w:t>
      </w:r>
      <w:r w:rsidRPr="00E97177">
        <w:rPr>
          <w:rFonts w:asciiTheme="minorHAnsi" w:hAnsiTheme="minorHAnsi" w:cs="Simplified Arabic"/>
          <w:sz w:val="12"/>
          <w:szCs w:val="12"/>
        </w:rPr>
        <w:t>odified with the adoption of a number of completed housing units rather than licensed housing units.</w:t>
      </w:r>
    </w:p>
  </w:footnote>
  <w:footnote w:id="22">
    <w:p w:rsidR="000E27DE" w:rsidRDefault="000E27DE" w:rsidP="00FC0A47">
      <w:pPr>
        <w:pStyle w:val="FootnoteText"/>
        <w:bidi w:val="0"/>
      </w:pPr>
      <w:r>
        <w:rPr>
          <w:rStyle w:val="FootnoteReference"/>
        </w:rPr>
        <w:footnoteRef/>
      </w:r>
      <w:r w:rsidRPr="00E97177">
        <w:rPr>
          <w:rFonts w:asciiTheme="minorHAnsi" w:hAnsiTheme="minorHAnsi"/>
          <w:rtl/>
        </w:rPr>
        <w:t xml:space="preserve"> </w:t>
      </w:r>
      <w:r w:rsidRPr="00E97177">
        <w:rPr>
          <w:rFonts w:asciiTheme="minorHAnsi" w:hAnsiTheme="minorHAnsi" w:cs="Simplified Arabic"/>
          <w:sz w:val="12"/>
          <w:szCs w:val="12"/>
        </w:rPr>
        <w:t>Housing need estimates/</w:t>
      </w:r>
      <w:r w:rsidRPr="00FC0A47">
        <w:rPr>
          <w:sz w:val="12"/>
          <w:szCs w:val="12"/>
          <w:lang w:bidi="ar-JO"/>
        </w:rPr>
        <w:t xml:space="preserve"> </w:t>
      </w:r>
      <w:r w:rsidRPr="00D75326">
        <w:rPr>
          <w:sz w:val="12"/>
          <w:szCs w:val="12"/>
          <w:lang w:bidi="ar-JO"/>
        </w:rPr>
        <w:t>Housing and Urban Development Corporation</w:t>
      </w:r>
      <w:r w:rsidRPr="00E97177">
        <w:rPr>
          <w:rFonts w:asciiTheme="minorHAnsi" w:hAnsiTheme="minorHAnsi" w:cs="Simplified Arabic"/>
          <w:sz w:val="12"/>
          <w:szCs w:val="12"/>
        </w:rPr>
        <w:t xml:space="preserve"> /modified for years comparison according to the latest data from housing need estimates</w:t>
      </w:r>
    </w:p>
  </w:footnote>
  <w:footnote w:id="23">
    <w:p w:rsidR="000E27DE" w:rsidRDefault="000E27DE" w:rsidP="00963BBD">
      <w:pPr>
        <w:bidi w:val="0"/>
        <w:spacing w:after="0" w:line="240" w:lineRule="auto"/>
        <w:rPr>
          <w:rFonts w:ascii="Simplified Arabic" w:eastAsia="Times New Roman" w:hAnsi="Simplified Arabic" w:cs="Simplified Arabic"/>
          <w:sz w:val="12"/>
          <w:szCs w:val="12"/>
          <w:lang w:bidi="ar-JO"/>
        </w:rPr>
      </w:pPr>
      <w:r w:rsidRPr="00DC79C6">
        <w:rPr>
          <w:rStyle w:val="FootnoteReference"/>
          <w:sz w:val="20"/>
          <w:szCs w:val="20"/>
        </w:rPr>
        <w:footnoteRef/>
      </w:r>
      <w:proofErr w:type="gramStart"/>
      <w:r w:rsidRPr="00E97177">
        <w:rPr>
          <w:rFonts w:eastAsia="Times New Roman" w:cs="Simplified Arabic"/>
          <w:sz w:val="12"/>
          <w:szCs w:val="12"/>
        </w:rPr>
        <w:t>Sales</w:t>
      </w:r>
      <w:r>
        <w:rPr>
          <w:rFonts w:eastAsia="Times New Roman" w:cs="Simplified Arabic"/>
          <w:sz w:val="12"/>
          <w:szCs w:val="12"/>
        </w:rPr>
        <w:t xml:space="preserve"> </w:t>
      </w:r>
      <w:r w:rsidRPr="00E97177">
        <w:rPr>
          <w:rFonts w:eastAsia="Times New Roman" w:cs="Simplified Arabic"/>
          <w:sz w:val="12"/>
          <w:szCs w:val="12"/>
        </w:rPr>
        <w:t xml:space="preserve"> apartments</w:t>
      </w:r>
      <w:proofErr w:type="gramEnd"/>
      <w:r w:rsidRPr="00E97177">
        <w:rPr>
          <w:rFonts w:eastAsia="Times New Roman" w:cs="Simplified Arabic"/>
          <w:sz w:val="12"/>
          <w:szCs w:val="12"/>
        </w:rPr>
        <w:t>/DLs.</w:t>
      </w:r>
      <w:r w:rsidRPr="00963BBD">
        <w:rPr>
          <w:rFonts w:ascii="Simplified Arabic" w:eastAsia="Times New Roman" w:hAnsi="Simplified Arabic" w:cs="Simplified Arabic"/>
          <w:sz w:val="12"/>
          <w:szCs w:val="12"/>
          <w:lang w:bidi="ar-JO"/>
        </w:rPr>
        <w:t xml:space="preserve"> </w:t>
      </w:r>
    </w:p>
    <w:p w:rsidR="000E27DE" w:rsidRPr="000F60E2" w:rsidRDefault="000E27DE" w:rsidP="003A31AF">
      <w:pPr>
        <w:bidi w:val="0"/>
        <w:spacing w:after="0" w:line="240" w:lineRule="auto"/>
        <w:rPr>
          <w:rFonts w:eastAsia="Times New Roman" w:cs="Calibri"/>
          <w:sz w:val="12"/>
          <w:szCs w:val="12"/>
        </w:rPr>
      </w:pPr>
      <w:r>
        <w:rPr>
          <w:rFonts w:eastAsia="Times New Roman" w:cs="Simplified Arabic"/>
          <w:sz w:val="12"/>
          <w:szCs w:val="12"/>
          <w:lang w:bidi="ar-JO"/>
        </w:rPr>
        <w:t xml:space="preserve">    </w:t>
      </w:r>
      <w:r w:rsidRPr="000F60E2">
        <w:rPr>
          <w:rFonts w:eastAsia="Times New Roman" w:cs="Simplified Arabic"/>
          <w:sz w:val="12"/>
          <w:szCs w:val="12"/>
          <w:lang w:bidi="ar-JO"/>
        </w:rPr>
        <w:t xml:space="preserve">  </w:t>
      </w:r>
      <w:r w:rsidRPr="000F60E2">
        <w:rPr>
          <w:rFonts w:eastAsia="Times New Roman" w:cs="Simplified Arabic"/>
          <w:sz w:val="12"/>
          <w:szCs w:val="12"/>
        </w:rPr>
        <w:t>Note: total housing production data and the private sector (owner building + housing companies) quarterly data is cumulative.</w:t>
      </w:r>
    </w:p>
    <w:p w:rsidR="000E27DE" w:rsidRDefault="000E27DE" w:rsidP="008E4575">
      <w:pPr>
        <w:pStyle w:val="FootnoteText"/>
        <w:bidi w:val="0"/>
        <w:rPr>
          <w:lang w:bidi="ar-JO"/>
        </w:rPr>
      </w:pPr>
    </w:p>
  </w:footnote>
  <w:footnote w:id="24">
    <w:p w:rsidR="000E27DE" w:rsidRDefault="000E27DE" w:rsidP="002563BD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D3755">
        <w:rPr>
          <w:rFonts w:asciiTheme="minorHAnsi" w:hAnsiTheme="minorHAnsi" w:cs="Simplified Arabic"/>
          <w:sz w:val="12"/>
          <w:szCs w:val="12"/>
        </w:rPr>
        <w:t>Modified median per capita</w:t>
      </w:r>
      <w:r>
        <w:rPr>
          <w:rFonts w:asciiTheme="minorHAnsi" w:hAnsiTheme="minorHAnsi" w:cs="Simplified Arabic"/>
          <w:sz w:val="12"/>
          <w:szCs w:val="12"/>
        </w:rPr>
        <w:t xml:space="preserve"> </w:t>
      </w:r>
      <w:proofErr w:type="gramStart"/>
      <w:r>
        <w:rPr>
          <w:rFonts w:asciiTheme="minorHAnsi" w:hAnsiTheme="minorHAnsi" w:cs="Simplified Arabic"/>
          <w:sz w:val="12"/>
          <w:szCs w:val="12"/>
        </w:rPr>
        <w:t xml:space="preserve">of </w:t>
      </w:r>
      <w:r w:rsidRPr="006D3755">
        <w:rPr>
          <w:rFonts w:asciiTheme="minorHAnsi" w:hAnsiTheme="minorHAnsi" w:cs="Simplified Arabic"/>
          <w:sz w:val="12"/>
          <w:szCs w:val="12"/>
        </w:rPr>
        <w:t xml:space="preserve"> housing</w:t>
      </w:r>
      <w:proofErr w:type="gramEnd"/>
      <w:r w:rsidRPr="006D3755">
        <w:rPr>
          <w:rFonts w:asciiTheme="minorHAnsi" w:hAnsiTheme="minorHAnsi" w:cs="Simplified Arabic"/>
          <w:sz w:val="12"/>
          <w:szCs w:val="12"/>
        </w:rPr>
        <w:t xml:space="preserve"> area for the years 2004, 2006, 2008, according to the latest data.</w:t>
      </w:r>
    </w:p>
  </w:footnote>
  <w:footnote w:id="25">
    <w:p w:rsidR="000E27DE" w:rsidRPr="006D3755" w:rsidRDefault="000E27DE" w:rsidP="00042C8B">
      <w:pPr>
        <w:pStyle w:val="FootnoteText"/>
        <w:bidi w:val="0"/>
        <w:rPr>
          <w:rFonts w:asciiTheme="minorHAnsi" w:hAnsiTheme="minorHAnsi"/>
        </w:rPr>
      </w:pPr>
      <w:r>
        <w:rPr>
          <w:rStyle w:val="FootnoteReference"/>
        </w:rPr>
        <w:footnoteRef/>
      </w:r>
      <w:r w:rsidRPr="006D3755">
        <w:rPr>
          <w:rFonts w:asciiTheme="minorHAnsi" w:hAnsiTheme="minorHAnsi" w:cs="Simplified Arabic"/>
          <w:sz w:val="12"/>
          <w:szCs w:val="12"/>
        </w:rPr>
        <w:t>Data for years</w:t>
      </w:r>
      <w:r>
        <w:rPr>
          <w:rFonts w:asciiTheme="minorHAnsi" w:hAnsiTheme="minorHAnsi" w:cs="Simplified Arabic"/>
          <w:sz w:val="12"/>
          <w:szCs w:val="12"/>
        </w:rPr>
        <w:t xml:space="preserve"> </w:t>
      </w:r>
      <w:proofErr w:type="gramStart"/>
      <w:r>
        <w:rPr>
          <w:rFonts w:asciiTheme="minorHAnsi" w:hAnsiTheme="minorHAnsi" w:cs="Simplified Arabic"/>
          <w:sz w:val="12"/>
          <w:szCs w:val="12"/>
        </w:rPr>
        <w:t xml:space="preserve">comparison </w:t>
      </w:r>
      <w:r w:rsidRPr="006D3755">
        <w:rPr>
          <w:rFonts w:asciiTheme="minorHAnsi" w:hAnsiTheme="minorHAnsi" w:cs="Simplified Arabic"/>
          <w:sz w:val="12"/>
          <w:szCs w:val="12"/>
        </w:rPr>
        <w:t xml:space="preserve"> have</w:t>
      </w:r>
      <w:proofErr w:type="gramEnd"/>
      <w:r w:rsidRPr="006D3755">
        <w:rPr>
          <w:rFonts w:asciiTheme="minorHAnsi" w:hAnsiTheme="minorHAnsi" w:cs="Simplified Arabic"/>
          <w:sz w:val="12"/>
          <w:szCs w:val="12"/>
        </w:rPr>
        <w:t xml:space="preserve"> been modified with the adoption of a number of completed housing units rather than the number of licensed</w:t>
      </w:r>
      <w:r>
        <w:rPr>
          <w:rFonts w:asciiTheme="minorHAnsi" w:hAnsiTheme="minorHAnsi" w:cs="Simplified Arabic"/>
          <w:sz w:val="12"/>
          <w:szCs w:val="12"/>
        </w:rPr>
        <w:t xml:space="preserve"> housing</w:t>
      </w:r>
      <w:r w:rsidRPr="006D3755">
        <w:rPr>
          <w:rFonts w:asciiTheme="minorHAnsi" w:hAnsiTheme="minorHAnsi" w:cs="Simplified Arabic"/>
          <w:sz w:val="12"/>
          <w:szCs w:val="12"/>
        </w:rPr>
        <w:t xml:space="preserve"> units.</w:t>
      </w:r>
      <w:r w:rsidRPr="006D3755">
        <w:rPr>
          <w:rFonts w:asciiTheme="minorHAnsi" w:hAnsiTheme="minorHAnsi"/>
          <w:rtl/>
        </w:rPr>
        <w:t xml:space="preserve"> </w:t>
      </w:r>
    </w:p>
  </w:footnote>
  <w:footnote w:id="26">
    <w:p w:rsidR="00516DEE" w:rsidRDefault="00516DEE" w:rsidP="006D3755">
      <w:pPr>
        <w:pStyle w:val="FootnoteText"/>
        <w:bidi w:val="0"/>
      </w:pPr>
      <w:r>
        <w:rPr>
          <w:rStyle w:val="FootnoteReference"/>
        </w:rPr>
        <w:footnoteRef/>
      </w:r>
      <w:r w:rsidRPr="00DC2F63">
        <w:rPr>
          <w:rFonts w:asciiTheme="minorHAnsi" w:hAnsiTheme="minorHAnsi" w:cstheme="minorHAnsi"/>
          <w:sz w:val="12"/>
          <w:szCs w:val="12"/>
          <w:lang w:bidi="ar-JO"/>
        </w:rPr>
        <w:t>The</w:t>
      </w:r>
      <w:r w:rsidRPr="00DC2F63">
        <w:rPr>
          <w:rFonts w:asciiTheme="minorHAnsi" w:hAnsiTheme="minorHAnsi" w:cstheme="minorHAnsi"/>
          <w:lang w:bidi="ar-JO"/>
        </w:rPr>
        <w:t xml:space="preserve"> </w:t>
      </w:r>
      <w:r w:rsidRPr="00DC2F63">
        <w:rPr>
          <w:rFonts w:asciiTheme="minorHAnsi" w:hAnsiTheme="minorHAnsi" w:cstheme="minorHAnsi"/>
          <w:sz w:val="12"/>
          <w:szCs w:val="12"/>
          <w:lang w:bidi="ar-JO"/>
        </w:rPr>
        <w:t>years</w:t>
      </w:r>
      <w:r w:rsidRPr="00DC2F63">
        <w:rPr>
          <w:rFonts w:asciiTheme="minorHAnsi" w:hAnsiTheme="minorHAnsi" w:cstheme="minorHAnsi"/>
          <w:sz w:val="12"/>
          <w:szCs w:val="12"/>
          <w:rtl/>
          <w:lang w:bidi="ar-JO"/>
        </w:rPr>
        <w:t>)</w:t>
      </w:r>
      <w:r>
        <w:rPr>
          <w:rtl/>
        </w:rPr>
        <w:t xml:space="preserve"> </w:t>
      </w:r>
      <w:r w:rsidRPr="006D3755">
        <w:rPr>
          <w:rFonts w:asciiTheme="minorHAnsi" w:hAnsiTheme="minorHAnsi" w:cs="Simplified Arabic"/>
          <w:sz w:val="12"/>
          <w:szCs w:val="12"/>
        </w:rPr>
        <w:t>2010-2011-2012</w:t>
      </w:r>
      <w:r>
        <w:rPr>
          <w:rFonts w:asciiTheme="minorHAnsi" w:hAnsiTheme="minorHAnsi" w:cs="Simplified Arabic"/>
          <w:sz w:val="12"/>
          <w:szCs w:val="12"/>
        </w:rPr>
        <w:t xml:space="preserve">-2013) are limited to licensed banks </w:t>
      </w:r>
      <w:r w:rsidRPr="00A17399">
        <w:rPr>
          <w:rFonts w:asciiTheme="minorHAnsi" w:hAnsiTheme="minorHAnsi" w:cs="Simplified Arabic"/>
          <w:b/>
          <w:bCs/>
          <w:sz w:val="12"/>
          <w:szCs w:val="12"/>
          <w:lang w:bidi="ar-JO"/>
        </w:rPr>
        <w:t>operating</w:t>
      </w:r>
      <w:r w:rsidRPr="00A17399">
        <w:rPr>
          <w:rFonts w:asciiTheme="minorHAnsi" w:hAnsiTheme="minorHAnsi" w:cs="Simplified Arabic"/>
          <w:sz w:val="12"/>
          <w:szCs w:val="12"/>
          <w:lang w:bidi="ar-JO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DE" w:rsidRPr="00AD75A0" w:rsidRDefault="000E27DE" w:rsidP="00AD75A0">
    <w:pPr>
      <w:pStyle w:val="Header"/>
      <w:ind w:right="-1276"/>
      <w:jc w:val="right"/>
      <w:rPr>
        <w:b/>
        <w:bCs/>
        <w:sz w:val="20"/>
        <w:szCs w:val="20"/>
        <w:rtl/>
        <w:lang w:bidi="ar-JO"/>
      </w:rPr>
    </w:pPr>
    <w:r>
      <w:rPr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5546725</wp:posOffset>
          </wp:positionH>
          <wp:positionV relativeFrom="paragraph">
            <wp:posOffset>-144780</wp:posOffset>
          </wp:positionV>
          <wp:extent cx="473075" cy="466725"/>
          <wp:effectExtent l="19050" t="0" r="3175" b="0"/>
          <wp:wrapTight wrapText="bothSides">
            <wp:wrapPolygon edited="0">
              <wp:start x="-870" y="0"/>
              <wp:lineTo x="-870" y="21159"/>
              <wp:lineTo x="21745" y="21159"/>
              <wp:lineTo x="21745" y="0"/>
              <wp:lineTo x="-870" y="0"/>
            </wp:wrapPolygon>
          </wp:wrapTight>
          <wp:docPr id="1" name="Picture 0" descr="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0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75A0">
      <w:rPr>
        <w:b/>
        <w:bCs/>
        <w:sz w:val="20"/>
        <w:szCs w:val="20"/>
        <w:lang w:bidi="ar-JO"/>
      </w:rPr>
      <w:t xml:space="preserve">Housing and Urban Development Corporation    </w:t>
    </w:r>
    <w:r w:rsidRPr="00AD75A0">
      <w:rPr>
        <w:rFonts w:hint="cs"/>
        <w:b/>
        <w:bCs/>
        <w:sz w:val="20"/>
        <w:szCs w:val="20"/>
        <w:rtl/>
        <w:lang w:bidi="ar-JO"/>
      </w:rPr>
      <w:t xml:space="preserve"> </w:t>
    </w:r>
  </w:p>
  <w:p w:rsidR="000E27DE" w:rsidRPr="00AD75A0" w:rsidRDefault="000E27DE" w:rsidP="00A21DDB">
    <w:pPr>
      <w:pStyle w:val="Header"/>
      <w:ind w:right="-1276"/>
      <w:jc w:val="right"/>
      <w:rPr>
        <w:b/>
        <w:bCs/>
        <w:sz w:val="20"/>
        <w:szCs w:val="20"/>
        <w:lang w:bidi="ar-JO"/>
      </w:rPr>
    </w:pPr>
    <w:r w:rsidRPr="00AD75A0">
      <w:rPr>
        <w:b/>
        <w:bCs/>
        <w:sz w:val="20"/>
        <w:szCs w:val="20"/>
        <w:lang w:bidi="ar-JO"/>
      </w:rPr>
      <w:t xml:space="preserve">Housing Policy </w:t>
    </w:r>
    <w:r>
      <w:rPr>
        <w:b/>
        <w:bCs/>
        <w:sz w:val="20"/>
        <w:szCs w:val="20"/>
        <w:lang w:bidi="ar-JO"/>
      </w:rPr>
      <w:t>Department</w:t>
    </w:r>
    <w:r w:rsidRPr="00AD75A0">
      <w:rPr>
        <w:b/>
        <w:bCs/>
        <w:sz w:val="20"/>
        <w:szCs w:val="20"/>
        <w:lang w:bidi="ar-JO"/>
      </w:rPr>
      <w:t>/ Directorate of Policies/ Data Section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/>
  <w:rsids>
    <w:rsidRoot w:val="00FA7DBA"/>
    <w:rsid w:val="00003480"/>
    <w:rsid w:val="00005AF9"/>
    <w:rsid w:val="00013E40"/>
    <w:rsid w:val="0001597A"/>
    <w:rsid w:val="00016D68"/>
    <w:rsid w:val="0002056B"/>
    <w:rsid w:val="00022B2E"/>
    <w:rsid w:val="000375F0"/>
    <w:rsid w:val="00041885"/>
    <w:rsid w:val="00042251"/>
    <w:rsid w:val="00042C8B"/>
    <w:rsid w:val="00043952"/>
    <w:rsid w:val="000514DC"/>
    <w:rsid w:val="000518AC"/>
    <w:rsid w:val="0005304A"/>
    <w:rsid w:val="00055A0D"/>
    <w:rsid w:val="000650AF"/>
    <w:rsid w:val="00065337"/>
    <w:rsid w:val="00066440"/>
    <w:rsid w:val="000709D6"/>
    <w:rsid w:val="00080BC7"/>
    <w:rsid w:val="000850DE"/>
    <w:rsid w:val="000856B7"/>
    <w:rsid w:val="0008571D"/>
    <w:rsid w:val="000919F4"/>
    <w:rsid w:val="00091F84"/>
    <w:rsid w:val="000963F6"/>
    <w:rsid w:val="000971C7"/>
    <w:rsid w:val="000B179D"/>
    <w:rsid w:val="000B512F"/>
    <w:rsid w:val="000C0284"/>
    <w:rsid w:val="000C333F"/>
    <w:rsid w:val="000C77C6"/>
    <w:rsid w:val="000D2873"/>
    <w:rsid w:val="000D5107"/>
    <w:rsid w:val="000E27DE"/>
    <w:rsid w:val="000F0655"/>
    <w:rsid w:val="000F2A13"/>
    <w:rsid w:val="000F56A0"/>
    <w:rsid w:val="000F60E2"/>
    <w:rsid w:val="000F621C"/>
    <w:rsid w:val="00100A5B"/>
    <w:rsid w:val="00101CA9"/>
    <w:rsid w:val="0010564A"/>
    <w:rsid w:val="001059F7"/>
    <w:rsid w:val="001072DD"/>
    <w:rsid w:val="001125BD"/>
    <w:rsid w:val="00112FA6"/>
    <w:rsid w:val="001131E5"/>
    <w:rsid w:val="00127EDE"/>
    <w:rsid w:val="001324FD"/>
    <w:rsid w:val="001343DC"/>
    <w:rsid w:val="00135A6C"/>
    <w:rsid w:val="00141A02"/>
    <w:rsid w:val="00146168"/>
    <w:rsid w:val="00151494"/>
    <w:rsid w:val="0015159F"/>
    <w:rsid w:val="00156303"/>
    <w:rsid w:val="00157C3E"/>
    <w:rsid w:val="00162CC9"/>
    <w:rsid w:val="0016753A"/>
    <w:rsid w:val="00170D71"/>
    <w:rsid w:val="00180B98"/>
    <w:rsid w:val="00180D27"/>
    <w:rsid w:val="00181852"/>
    <w:rsid w:val="00181F78"/>
    <w:rsid w:val="0018361C"/>
    <w:rsid w:val="00197D0E"/>
    <w:rsid w:val="001A09E9"/>
    <w:rsid w:val="001A77F5"/>
    <w:rsid w:val="001B166F"/>
    <w:rsid w:val="001B18D6"/>
    <w:rsid w:val="001B713E"/>
    <w:rsid w:val="001C1E5B"/>
    <w:rsid w:val="001C5DEE"/>
    <w:rsid w:val="001C62C7"/>
    <w:rsid w:val="001D217D"/>
    <w:rsid w:val="001D5FD2"/>
    <w:rsid w:val="001E154D"/>
    <w:rsid w:val="001E3A9E"/>
    <w:rsid w:val="001E7619"/>
    <w:rsid w:val="001F0A04"/>
    <w:rsid w:val="002149C8"/>
    <w:rsid w:val="0021638F"/>
    <w:rsid w:val="002166EF"/>
    <w:rsid w:val="00217DC0"/>
    <w:rsid w:val="0022324F"/>
    <w:rsid w:val="002255C4"/>
    <w:rsid w:val="00226CAD"/>
    <w:rsid w:val="0024486E"/>
    <w:rsid w:val="00247ABF"/>
    <w:rsid w:val="00250FD2"/>
    <w:rsid w:val="00251145"/>
    <w:rsid w:val="00252719"/>
    <w:rsid w:val="00253DDA"/>
    <w:rsid w:val="002563BD"/>
    <w:rsid w:val="00261FE1"/>
    <w:rsid w:val="00281278"/>
    <w:rsid w:val="00283961"/>
    <w:rsid w:val="0028742C"/>
    <w:rsid w:val="00297086"/>
    <w:rsid w:val="002B05DB"/>
    <w:rsid w:val="002B6E65"/>
    <w:rsid w:val="002D19C7"/>
    <w:rsid w:val="002D2262"/>
    <w:rsid w:val="002D29CE"/>
    <w:rsid w:val="002D4EE1"/>
    <w:rsid w:val="002D719F"/>
    <w:rsid w:val="002F11FC"/>
    <w:rsid w:val="0030135D"/>
    <w:rsid w:val="003017F3"/>
    <w:rsid w:val="0030655D"/>
    <w:rsid w:val="003133B3"/>
    <w:rsid w:val="00317B27"/>
    <w:rsid w:val="0032411A"/>
    <w:rsid w:val="003259FC"/>
    <w:rsid w:val="00326CA7"/>
    <w:rsid w:val="00337984"/>
    <w:rsid w:val="00341B52"/>
    <w:rsid w:val="00342974"/>
    <w:rsid w:val="003448F3"/>
    <w:rsid w:val="00350C9B"/>
    <w:rsid w:val="003539C3"/>
    <w:rsid w:val="00362EE0"/>
    <w:rsid w:val="00367B56"/>
    <w:rsid w:val="003707BC"/>
    <w:rsid w:val="00373531"/>
    <w:rsid w:val="00373CF9"/>
    <w:rsid w:val="00375905"/>
    <w:rsid w:val="00381AC3"/>
    <w:rsid w:val="00382821"/>
    <w:rsid w:val="003828A0"/>
    <w:rsid w:val="003828E1"/>
    <w:rsid w:val="00397E76"/>
    <w:rsid w:val="003A15BA"/>
    <w:rsid w:val="003A31AF"/>
    <w:rsid w:val="003A3F0C"/>
    <w:rsid w:val="003A5D79"/>
    <w:rsid w:val="003B5813"/>
    <w:rsid w:val="003C4858"/>
    <w:rsid w:val="003C5A92"/>
    <w:rsid w:val="003D31CE"/>
    <w:rsid w:val="003D7908"/>
    <w:rsid w:val="003F02C7"/>
    <w:rsid w:val="003F2103"/>
    <w:rsid w:val="003F261E"/>
    <w:rsid w:val="003F4369"/>
    <w:rsid w:val="00415236"/>
    <w:rsid w:val="00415521"/>
    <w:rsid w:val="004161CC"/>
    <w:rsid w:val="00420ECE"/>
    <w:rsid w:val="004235FA"/>
    <w:rsid w:val="0043229B"/>
    <w:rsid w:val="00432B75"/>
    <w:rsid w:val="00433542"/>
    <w:rsid w:val="004346C8"/>
    <w:rsid w:val="00436A5C"/>
    <w:rsid w:val="0043736F"/>
    <w:rsid w:val="00440416"/>
    <w:rsid w:val="00451FA5"/>
    <w:rsid w:val="004543AA"/>
    <w:rsid w:val="004546CA"/>
    <w:rsid w:val="00456A2D"/>
    <w:rsid w:val="00470374"/>
    <w:rsid w:val="00475F9B"/>
    <w:rsid w:val="00476693"/>
    <w:rsid w:val="00491C2F"/>
    <w:rsid w:val="00497892"/>
    <w:rsid w:val="004A47BC"/>
    <w:rsid w:val="004A533C"/>
    <w:rsid w:val="004B7294"/>
    <w:rsid w:val="004C0078"/>
    <w:rsid w:val="004C67FF"/>
    <w:rsid w:val="004D6A7B"/>
    <w:rsid w:val="004E160B"/>
    <w:rsid w:val="004E3664"/>
    <w:rsid w:val="004E5A0E"/>
    <w:rsid w:val="004F177E"/>
    <w:rsid w:val="004F286B"/>
    <w:rsid w:val="0050007D"/>
    <w:rsid w:val="00501501"/>
    <w:rsid w:val="00516DEE"/>
    <w:rsid w:val="0052621C"/>
    <w:rsid w:val="0053028B"/>
    <w:rsid w:val="00536FCE"/>
    <w:rsid w:val="00540CA8"/>
    <w:rsid w:val="00547C4D"/>
    <w:rsid w:val="00552775"/>
    <w:rsid w:val="00552DD7"/>
    <w:rsid w:val="00565214"/>
    <w:rsid w:val="00573F6C"/>
    <w:rsid w:val="00575F16"/>
    <w:rsid w:val="00577689"/>
    <w:rsid w:val="00580A11"/>
    <w:rsid w:val="00583456"/>
    <w:rsid w:val="0058412F"/>
    <w:rsid w:val="00587EB5"/>
    <w:rsid w:val="00595CFC"/>
    <w:rsid w:val="005978CD"/>
    <w:rsid w:val="00597DDB"/>
    <w:rsid w:val="005A2D06"/>
    <w:rsid w:val="005A67A3"/>
    <w:rsid w:val="005B4564"/>
    <w:rsid w:val="005C5AF3"/>
    <w:rsid w:val="005D37D7"/>
    <w:rsid w:val="005E0EAB"/>
    <w:rsid w:val="005E12E6"/>
    <w:rsid w:val="005E1F7E"/>
    <w:rsid w:val="005F1913"/>
    <w:rsid w:val="005F7014"/>
    <w:rsid w:val="005F7020"/>
    <w:rsid w:val="006146E8"/>
    <w:rsid w:val="006148C3"/>
    <w:rsid w:val="00614FBC"/>
    <w:rsid w:val="0061716B"/>
    <w:rsid w:val="006254D3"/>
    <w:rsid w:val="0063644F"/>
    <w:rsid w:val="00644B3F"/>
    <w:rsid w:val="00650BE6"/>
    <w:rsid w:val="00651532"/>
    <w:rsid w:val="00656DF9"/>
    <w:rsid w:val="00662B51"/>
    <w:rsid w:val="00666915"/>
    <w:rsid w:val="00666985"/>
    <w:rsid w:val="00672378"/>
    <w:rsid w:val="00674001"/>
    <w:rsid w:val="00674701"/>
    <w:rsid w:val="00677DCE"/>
    <w:rsid w:val="00680C08"/>
    <w:rsid w:val="0068738E"/>
    <w:rsid w:val="00693612"/>
    <w:rsid w:val="00696A2D"/>
    <w:rsid w:val="006A503A"/>
    <w:rsid w:val="006A6613"/>
    <w:rsid w:val="006B0AEA"/>
    <w:rsid w:val="006C0E58"/>
    <w:rsid w:val="006C6F45"/>
    <w:rsid w:val="006D2D4D"/>
    <w:rsid w:val="006D3755"/>
    <w:rsid w:val="006D41F5"/>
    <w:rsid w:val="006D6342"/>
    <w:rsid w:val="006E17AF"/>
    <w:rsid w:val="006E2C0A"/>
    <w:rsid w:val="006E3E54"/>
    <w:rsid w:val="006F0E4A"/>
    <w:rsid w:val="006F2322"/>
    <w:rsid w:val="006F2873"/>
    <w:rsid w:val="006F7B33"/>
    <w:rsid w:val="00703BE6"/>
    <w:rsid w:val="0070476E"/>
    <w:rsid w:val="00717367"/>
    <w:rsid w:val="007177E8"/>
    <w:rsid w:val="007246A5"/>
    <w:rsid w:val="00725815"/>
    <w:rsid w:val="007429E0"/>
    <w:rsid w:val="00747890"/>
    <w:rsid w:val="00750F14"/>
    <w:rsid w:val="0075168D"/>
    <w:rsid w:val="007522E2"/>
    <w:rsid w:val="0075336A"/>
    <w:rsid w:val="007577A3"/>
    <w:rsid w:val="00762C28"/>
    <w:rsid w:val="007743DC"/>
    <w:rsid w:val="00783008"/>
    <w:rsid w:val="007855C6"/>
    <w:rsid w:val="00786B9A"/>
    <w:rsid w:val="0079458E"/>
    <w:rsid w:val="007977FC"/>
    <w:rsid w:val="007A1F84"/>
    <w:rsid w:val="007A3AC5"/>
    <w:rsid w:val="007B0EE6"/>
    <w:rsid w:val="007C5BA1"/>
    <w:rsid w:val="007C5DEA"/>
    <w:rsid w:val="007D3CAA"/>
    <w:rsid w:val="007E36F2"/>
    <w:rsid w:val="007E4CF5"/>
    <w:rsid w:val="007F2E80"/>
    <w:rsid w:val="008028E4"/>
    <w:rsid w:val="008113EE"/>
    <w:rsid w:val="00813F55"/>
    <w:rsid w:val="00815551"/>
    <w:rsid w:val="00831E2F"/>
    <w:rsid w:val="008437D4"/>
    <w:rsid w:val="008520D1"/>
    <w:rsid w:val="00853B2F"/>
    <w:rsid w:val="00856812"/>
    <w:rsid w:val="008617B8"/>
    <w:rsid w:val="008628FD"/>
    <w:rsid w:val="00867CBE"/>
    <w:rsid w:val="008757B5"/>
    <w:rsid w:val="00881EDB"/>
    <w:rsid w:val="00884451"/>
    <w:rsid w:val="008A2C76"/>
    <w:rsid w:val="008B1748"/>
    <w:rsid w:val="008B3CE8"/>
    <w:rsid w:val="008B4B54"/>
    <w:rsid w:val="008C368A"/>
    <w:rsid w:val="008C5E4F"/>
    <w:rsid w:val="008C72C5"/>
    <w:rsid w:val="008C78D2"/>
    <w:rsid w:val="008D05B5"/>
    <w:rsid w:val="008E254B"/>
    <w:rsid w:val="008E4575"/>
    <w:rsid w:val="008E4E64"/>
    <w:rsid w:val="008E7938"/>
    <w:rsid w:val="008F09D0"/>
    <w:rsid w:val="008F56CB"/>
    <w:rsid w:val="00920A97"/>
    <w:rsid w:val="00921BB4"/>
    <w:rsid w:val="009269DA"/>
    <w:rsid w:val="00935974"/>
    <w:rsid w:val="00941044"/>
    <w:rsid w:val="0094214B"/>
    <w:rsid w:val="009447AA"/>
    <w:rsid w:val="009461FE"/>
    <w:rsid w:val="00955FC8"/>
    <w:rsid w:val="00960E83"/>
    <w:rsid w:val="00963BBD"/>
    <w:rsid w:val="00973454"/>
    <w:rsid w:val="00973901"/>
    <w:rsid w:val="009749EB"/>
    <w:rsid w:val="00981D0E"/>
    <w:rsid w:val="00982C17"/>
    <w:rsid w:val="0098439E"/>
    <w:rsid w:val="00987D3C"/>
    <w:rsid w:val="00992264"/>
    <w:rsid w:val="0099730D"/>
    <w:rsid w:val="00997BAB"/>
    <w:rsid w:val="009A153B"/>
    <w:rsid w:val="009A4F90"/>
    <w:rsid w:val="009A65C6"/>
    <w:rsid w:val="009B6872"/>
    <w:rsid w:val="009C2657"/>
    <w:rsid w:val="009C2C7E"/>
    <w:rsid w:val="009C7004"/>
    <w:rsid w:val="009D06BB"/>
    <w:rsid w:val="009D1CA5"/>
    <w:rsid w:val="009D49A5"/>
    <w:rsid w:val="009D7C3A"/>
    <w:rsid w:val="009F0B99"/>
    <w:rsid w:val="00A01B6B"/>
    <w:rsid w:val="00A0302A"/>
    <w:rsid w:val="00A03F52"/>
    <w:rsid w:val="00A1413A"/>
    <w:rsid w:val="00A155C2"/>
    <w:rsid w:val="00A16E38"/>
    <w:rsid w:val="00A17399"/>
    <w:rsid w:val="00A21DDB"/>
    <w:rsid w:val="00A24C43"/>
    <w:rsid w:val="00A34E83"/>
    <w:rsid w:val="00A3676E"/>
    <w:rsid w:val="00A442D7"/>
    <w:rsid w:val="00A52673"/>
    <w:rsid w:val="00A54C7F"/>
    <w:rsid w:val="00A66F34"/>
    <w:rsid w:val="00A67060"/>
    <w:rsid w:val="00A81441"/>
    <w:rsid w:val="00A831AC"/>
    <w:rsid w:val="00A84325"/>
    <w:rsid w:val="00A8547B"/>
    <w:rsid w:val="00A85569"/>
    <w:rsid w:val="00A930E0"/>
    <w:rsid w:val="00A932C0"/>
    <w:rsid w:val="00A95791"/>
    <w:rsid w:val="00AA2394"/>
    <w:rsid w:val="00AA2B69"/>
    <w:rsid w:val="00AB19D0"/>
    <w:rsid w:val="00AB3301"/>
    <w:rsid w:val="00AB7E85"/>
    <w:rsid w:val="00AC18DB"/>
    <w:rsid w:val="00AD1105"/>
    <w:rsid w:val="00AD232F"/>
    <w:rsid w:val="00AD3B18"/>
    <w:rsid w:val="00AD6775"/>
    <w:rsid w:val="00AD75A0"/>
    <w:rsid w:val="00AE2EE5"/>
    <w:rsid w:val="00AE3172"/>
    <w:rsid w:val="00AE41A9"/>
    <w:rsid w:val="00AF76DB"/>
    <w:rsid w:val="00AF7BF4"/>
    <w:rsid w:val="00B009CF"/>
    <w:rsid w:val="00B16312"/>
    <w:rsid w:val="00B174B2"/>
    <w:rsid w:val="00B21237"/>
    <w:rsid w:val="00B23AB0"/>
    <w:rsid w:val="00B2453F"/>
    <w:rsid w:val="00B263B2"/>
    <w:rsid w:val="00B3560E"/>
    <w:rsid w:val="00B40BF4"/>
    <w:rsid w:val="00B4213A"/>
    <w:rsid w:val="00B4728C"/>
    <w:rsid w:val="00B67098"/>
    <w:rsid w:val="00B75A0D"/>
    <w:rsid w:val="00B84BBF"/>
    <w:rsid w:val="00B97AC5"/>
    <w:rsid w:val="00BA103F"/>
    <w:rsid w:val="00BA5AAC"/>
    <w:rsid w:val="00BA5ADF"/>
    <w:rsid w:val="00BB5673"/>
    <w:rsid w:val="00BC44C8"/>
    <w:rsid w:val="00BC6430"/>
    <w:rsid w:val="00BD6AE4"/>
    <w:rsid w:val="00BE0B40"/>
    <w:rsid w:val="00BE3746"/>
    <w:rsid w:val="00BF2461"/>
    <w:rsid w:val="00BF3BF0"/>
    <w:rsid w:val="00BF7832"/>
    <w:rsid w:val="00C00FA2"/>
    <w:rsid w:val="00C01AEE"/>
    <w:rsid w:val="00C03E5D"/>
    <w:rsid w:val="00C056F2"/>
    <w:rsid w:val="00C1336B"/>
    <w:rsid w:val="00C17B1F"/>
    <w:rsid w:val="00C21FC9"/>
    <w:rsid w:val="00C23733"/>
    <w:rsid w:val="00C239C3"/>
    <w:rsid w:val="00C33A63"/>
    <w:rsid w:val="00C44370"/>
    <w:rsid w:val="00C503F8"/>
    <w:rsid w:val="00C52D37"/>
    <w:rsid w:val="00C61096"/>
    <w:rsid w:val="00C753BB"/>
    <w:rsid w:val="00C75B27"/>
    <w:rsid w:val="00C76919"/>
    <w:rsid w:val="00C76D08"/>
    <w:rsid w:val="00C80630"/>
    <w:rsid w:val="00C81DA7"/>
    <w:rsid w:val="00CA4015"/>
    <w:rsid w:val="00CA4AD2"/>
    <w:rsid w:val="00CB204D"/>
    <w:rsid w:val="00CB28B8"/>
    <w:rsid w:val="00CB35FB"/>
    <w:rsid w:val="00CB46A9"/>
    <w:rsid w:val="00CC131A"/>
    <w:rsid w:val="00CC2405"/>
    <w:rsid w:val="00CC7EA7"/>
    <w:rsid w:val="00CD09B4"/>
    <w:rsid w:val="00CD5D2B"/>
    <w:rsid w:val="00CD7DC7"/>
    <w:rsid w:val="00CE16A0"/>
    <w:rsid w:val="00CE61D5"/>
    <w:rsid w:val="00D016DF"/>
    <w:rsid w:val="00D062BC"/>
    <w:rsid w:val="00D077BE"/>
    <w:rsid w:val="00D118C2"/>
    <w:rsid w:val="00D44790"/>
    <w:rsid w:val="00D4572A"/>
    <w:rsid w:val="00D46C6D"/>
    <w:rsid w:val="00D55FB5"/>
    <w:rsid w:val="00D629A1"/>
    <w:rsid w:val="00D67EBC"/>
    <w:rsid w:val="00D71E6D"/>
    <w:rsid w:val="00D73D9D"/>
    <w:rsid w:val="00D75326"/>
    <w:rsid w:val="00D75901"/>
    <w:rsid w:val="00D8283E"/>
    <w:rsid w:val="00D85171"/>
    <w:rsid w:val="00D936F8"/>
    <w:rsid w:val="00D94A78"/>
    <w:rsid w:val="00D94F0A"/>
    <w:rsid w:val="00D964A6"/>
    <w:rsid w:val="00DA18FC"/>
    <w:rsid w:val="00DA4A14"/>
    <w:rsid w:val="00DB2C83"/>
    <w:rsid w:val="00DB7C17"/>
    <w:rsid w:val="00DC060E"/>
    <w:rsid w:val="00DC2D7A"/>
    <w:rsid w:val="00DC2F63"/>
    <w:rsid w:val="00DC6EFD"/>
    <w:rsid w:val="00DC79C6"/>
    <w:rsid w:val="00DD26B9"/>
    <w:rsid w:val="00DD28D0"/>
    <w:rsid w:val="00DD28FD"/>
    <w:rsid w:val="00DD6CA2"/>
    <w:rsid w:val="00DE178B"/>
    <w:rsid w:val="00DF17D6"/>
    <w:rsid w:val="00DF513D"/>
    <w:rsid w:val="00E00837"/>
    <w:rsid w:val="00E00ADB"/>
    <w:rsid w:val="00E067E4"/>
    <w:rsid w:val="00E13992"/>
    <w:rsid w:val="00E21106"/>
    <w:rsid w:val="00E3257F"/>
    <w:rsid w:val="00E33049"/>
    <w:rsid w:val="00E3375E"/>
    <w:rsid w:val="00E348FF"/>
    <w:rsid w:val="00E35E4C"/>
    <w:rsid w:val="00E40449"/>
    <w:rsid w:val="00E4121B"/>
    <w:rsid w:val="00E45074"/>
    <w:rsid w:val="00E46784"/>
    <w:rsid w:val="00E56C40"/>
    <w:rsid w:val="00E60E32"/>
    <w:rsid w:val="00E6545C"/>
    <w:rsid w:val="00E71503"/>
    <w:rsid w:val="00E71751"/>
    <w:rsid w:val="00E71B69"/>
    <w:rsid w:val="00E71CE1"/>
    <w:rsid w:val="00E876D1"/>
    <w:rsid w:val="00E87890"/>
    <w:rsid w:val="00E97177"/>
    <w:rsid w:val="00EA1933"/>
    <w:rsid w:val="00EA3CB5"/>
    <w:rsid w:val="00EA46BE"/>
    <w:rsid w:val="00EB2952"/>
    <w:rsid w:val="00EB3488"/>
    <w:rsid w:val="00EB5564"/>
    <w:rsid w:val="00EC11BB"/>
    <w:rsid w:val="00EC17F7"/>
    <w:rsid w:val="00EC7C52"/>
    <w:rsid w:val="00ED2897"/>
    <w:rsid w:val="00ED77C3"/>
    <w:rsid w:val="00EE4B8A"/>
    <w:rsid w:val="00EF0074"/>
    <w:rsid w:val="00F02B37"/>
    <w:rsid w:val="00F10158"/>
    <w:rsid w:val="00F1056E"/>
    <w:rsid w:val="00F14956"/>
    <w:rsid w:val="00F3228F"/>
    <w:rsid w:val="00F34207"/>
    <w:rsid w:val="00F379BA"/>
    <w:rsid w:val="00F4083A"/>
    <w:rsid w:val="00F41924"/>
    <w:rsid w:val="00F4351C"/>
    <w:rsid w:val="00F459A4"/>
    <w:rsid w:val="00F472CF"/>
    <w:rsid w:val="00F5194C"/>
    <w:rsid w:val="00F53B95"/>
    <w:rsid w:val="00F6294F"/>
    <w:rsid w:val="00F63247"/>
    <w:rsid w:val="00F71130"/>
    <w:rsid w:val="00F7329E"/>
    <w:rsid w:val="00F83353"/>
    <w:rsid w:val="00F87EF7"/>
    <w:rsid w:val="00F92BA0"/>
    <w:rsid w:val="00F92EF2"/>
    <w:rsid w:val="00F93E64"/>
    <w:rsid w:val="00FA7DBA"/>
    <w:rsid w:val="00FB589E"/>
    <w:rsid w:val="00FC0A47"/>
    <w:rsid w:val="00FC7E98"/>
    <w:rsid w:val="00FD1242"/>
    <w:rsid w:val="00FD2B73"/>
    <w:rsid w:val="00FD5D12"/>
    <w:rsid w:val="00FE002D"/>
    <w:rsid w:val="00FE0FF6"/>
    <w:rsid w:val="00FE4D1C"/>
    <w:rsid w:val="00FE5383"/>
    <w:rsid w:val="00F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DB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DB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DBA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A7DBA"/>
    <w:pPr>
      <w:ind w:left="720"/>
    </w:pPr>
    <w:rPr>
      <w:rFonts w:ascii="Calibri" w:eastAsia="Times New Roman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A7D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9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19"/>
  </w:style>
  <w:style w:type="paragraph" w:styleId="Footer">
    <w:name w:val="footer"/>
    <w:basedOn w:val="Normal"/>
    <w:link w:val="FooterChar"/>
    <w:uiPriority w:val="99"/>
    <w:unhideWhenUsed/>
    <w:rsid w:val="00C769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DB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DB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DBA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A7DBA"/>
    <w:pPr>
      <w:ind w:left="720"/>
    </w:pPr>
    <w:rPr>
      <w:rFonts w:ascii="Calibri" w:eastAsia="Times New Roman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A7D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9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19"/>
  </w:style>
  <w:style w:type="paragraph" w:styleId="Footer">
    <w:name w:val="footer"/>
    <w:basedOn w:val="Normal"/>
    <w:link w:val="FooterChar"/>
    <w:uiPriority w:val="99"/>
    <w:unhideWhenUsed/>
    <w:rsid w:val="00C769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01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756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6367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1187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457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616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149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338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8493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7088">
          <w:marLeft w:val="0"/>
          <w:marRight w:val="0"/>
          <w:marTop w:val="0"/>
          <w:marBottom w:val="0"/>
          <w:divBdr>
            <w:top w:val="single" w:sz="18" w:space="0" w:color="D2D2D2"/>
            <w:left w:val="single" w:sz="18" w:space="0" w:color="D2D2D2"/>
            <w:bottom w:val="single" w:sz="18" w:space="0" w:color="D2D2D2"/>
            <w:right w:val="single" w:sz="18" w:space="0" w:color="D2D2D2"/>
          </w:divBdr>
          <w:divsChild>
            <w:div w:id="19866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4533">
              <w:marLeft w:val="99"/>
              <w:marRight w:val="99"/>
              <w:marTop w:val="99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6624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8596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074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translator" TargetMode="External"/><Relationship Id="rId13" Type="http://schemas.openxmlformats.org/officeDocument/2006/relationships/fontTable" Target="fontTable.xml"/><Relationship Id="rId51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icrosofttranslator.com/bv.aspx?from=ar&amp;to=en&amp;a=http%3A%2F%2Fwww.cbj.gov.jo%2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rosofttranslator.com/bv.aspx?from=ar&amp;to=en&amp;a=http%3A%2F%2Fwww.cbj.gov.jo%2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3B20B-E924-4D43-A2E3-6BB6F7C1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abeer.shawabkeh</dc:creator>
  <cp:lastModifiedBy>abeer.shawabkeh</cp:lastModifiedBy>
  <cp:revision>333</cp:revision>
  <dcterms:created xsi:type="dcterms:W3CDTF">2012-08-05T09:21:00Z</dcterms:created>
  <dcterms:modified xsi:type="dcterms:W3CDTF">2013-09-09T08:50:00Z</dcterms:modified>
</cp:coreProperties>
</file>