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FCEF1" w14:textId="1A773D0B" w:rsidR="004E1001" w:rsidRPr="003F100C" w:rsidRDefault="00EA416E" w:rsidP="00985C21">
      <w:pPr>
        <w:spacing w:after="0" w:line="276" w:lineRule="auto"/>
        <w:jc w:val="center"/>
        <w:rPr>
          <w:rFonts w:ascii="Calibri" w:hAnsi="Calibri"/>
          <w:b/>
          <w:color w:val="A49966"/>
          <w:kern w:val="24"/>
          <w:sz w:val="36"/>
        </w:rPr>
      </w:pPr>
      <w:bookmarkStart w:id="0" w:name="_Hlk54706388"/>
      <w:r w:rsidRPr="003F100C">
        <w:rPr>
          <w:rFonts w:ascii="Calibri" w:hAnsi="Calibri"/>
          <w:b/>
          <w:color w:val="A49966"/>
          <w:kern w:val="24"/>
          <w:sz w:val="36"/>
        </w:rPr>
        <w:t xml:space="preserve">Turkey </w:t>
      </w:r>
      <w:r w:rsidR="00D40ADE" w:rsidRPr="003F100C">
        <w:rPr>
          <w:rFonts w:ascii="Calibri" w:hAnsi="Calibri"/>
          <w:b/>
          <w:color w:val="A49966"/>
          <w:kern w:val="24"/>
          <w:sz w:val="36"/>
        </w:rPr>
        <w:t>Cash-Based Interventions</w:t>
      </w:r>
      <w:r w:rsidR="00976CE6" w:rsidRPr="003F100C">
        <w:rPr>
          <w:rFonts w:ascii="Calibri" w:hAnsi="Calibri"/>
          <w:b/>
          <w:color w:val="A49966"/>
          <w:kern w:val="24"/>
          <w:sz w:val="36"/>
        </w:rPr>
        <w:t xml:space="preserve"> Technical</w:t>
      </w:r>
      <w:r w:rsidR="004E1001" w:rsidRPr="003F100C">
        <w:rPr>
          <w:rFonts w:ascii="Calibri" w:hAnsi="Calibri"/>
          <w:b/>
          <w:color w:val="A49966"/>
          <w:kern w:val="24"/>
          <w:sz w:val="36"/>
        </w:rPr>
        <w:t xml:space="preserve"> Working Group</w:t>
      </w:r>
    </w:p>
    <w:p w14:paraId="1A28D7A1" w14:textId="673F9663" w:rsidR="008E6222" w:rsidRPr="003F100C" w:rsidRDefault="004E1001" w:rsidP="00985C21">
      <w:pPr>
        <w:spacing w:after="0" w:line="276" w:lineRule="auto"/>
        <w:jc w:val="center"/>
        <w:rPr>
          <w:rFonts w:ascii="Calibri" w:hAnsi="Calibri"/>
          <w:i/>
          <w:color w:val="A49966"/>
          <w:kern w:val="24"/>
          <w:sz w:val="24"/>
        </w:rPr>
      </w:pPr>
      <w:r w:rsidRPr="003F100C">
        <w:rPr>
          <w:rFonts w:ascii="Calibri" w:hAnsi="Calibri"/>
          <w:b/>
          <w:color w:val="A49966"/>
          <w:kern w:val="24"/>
          <w:sz w:val="36"/>
        </w:rPr>
        <w:t>Terms of Reference</w:t>
      </w:r>
      <w:r w:rsidR="00F4145C" w:rsidRPr="003F100C">
        <w:rPr>
          <w:rFonts w:ascii="Calibri" w:eastAsia="+mn-ea" w:hAnsi="Calibri" w:cs="+mn-cs"/>
          <w:i/>
          <w:iCs/>
          <w:color w:val="A49966"/>
          <w:kern w:val="24"/>
          <w:sz w:val="36"/>
          <w:szCs w:val="46"/>
          <w:lang w:eastAsia="en-GB"/>
        </w:rPr>
        <w:br/>
      </w:r>
    </w:p>
    <w:p w14:paraId="2BE4FF13" w14:textId="1C1271F2" w:rsidR="00B272E7" w:rsidRPr="003F100C" w:rsidRDefault="00B272E7" w:rsidP="00985C21">
      <w:pPr>
        <w:pStyle w:val="ListParagraph"/>
        <w:numPr>
          <w:ilvl w:val="0"/>
          <w:numId w:val="13"/>
        </w:numPr>
        <w:ind w:left="426" w:hanging="426"/>
        <w:rPr>
          <w:b/>
        </w:rPr>
      </w:pPr>
      <w:r w:rsidRPr="003F100C">
        <w:rPr>
          <w:b/>
        </w:rPr>
        <w:t>Intr</w:t>
      </w:r>
      <w:r w:rsidR="00D40ADE" w:rsidRPr="003F100C">
        <w:rPr>
          <w:b/>
        </w:rPr>
        <w:t>oduction to Cash Based Interventions</w:t>
      </w:r>
    </w:p>
    <w:p w14:paraId="7ABAFF45" w14:textId="1FF9ACDD" w:rsidR="004207A1" w:rsidRPr="003F100C" w:rsidRDefault="00EA416E" w:rsidP="00F4145C">
      <w:pPr>
        <w:jc w:val="both"/>
      </w:pPr>
      <w:r w:rsidRPr="003F100C">
        <w:t>Cash Based Interventions as terminology covers all c</w:t>
      </w:r>
      <w:r w:rsidR="00B272E7" w:rsidRPr="003F100C">
        <w:t xml:space="preserve">ash and </w:t>
      </w:r>
      <w:r w:rsidRPr="003F100C">
        <w:t>v</w:t>
      </w:r>
      <w:r w:rsidR="00B272E7" w:rsidRPr="003F100C">
        <w:t>oucher</w:t>
      </w:r>
      <w:r w:rsidRPr="003F100C">
        <w:t xml:space="preserve"> form of assistance, which are used to</w:t>
      </w:r>
      <w:r w:rsidR="00B272E7" w:rsidRPr="003F100C">
        <w:t xml:space="preserve"> transfer</w:t>
      </w:r>
      <w:r w:rsidRPr="003F100C">
        <w:t xml:space="preserve"> </w:t>
      </w:r>
      <w:r w:rsidR="00B272E7" w:rsidRPr="003F100C">
        <w:t>resources to an individual or household during and after a humanitarian crisis, in times of economic shock, or through social assistance programmes across a range of different sectors</w:t>
      </w:r>
      <w:r w:rsidR="0015430D" w:rsidRPr="003F100C">
        <w:t xml:space="preserve">. </w:t>
      </w:r>
      <w:r w:rsidRPr="003F100C">
        <w:t xml:space="preserve">Cash Based Interventions </w:t>
      </w:r>
      <w:r w:rsidR="00B272E7" w:rsidRPr="003F100C">
        <w:t xml:space="preserve">are </w:t>
      </w:r>
      <w:r w:rsidRPr="003F100C">
        <w:t xml:space="preserve">being considered as a viable response option over commodity-based (in-kind) assistance </w:t>
      </w:r>
      <w:r w:rsidR="00B272E7" w:rsidRPr="003F100C">
        <w:t xml:space="preserve">by </w:t>
      </w:r>
      <w:r w:rsidR="003D1AAA" w:rsidRPr="003F100C">
        <w:t>affected populations</w:t>
      </w:r>
      <w:r w:rsidR="0052315B" w:rsidRPr="003F100C">
        <w:t>,</w:t>
      </w:r>
      <w:r w:rsidR="003D1AAA" w:rsidRPr="003F100C">
        <w:t xml:space="preserve"> as well as </w:t>
      </w:r>
      <w:r w:rsidR="00B272E7" w:rsidRPr="003F100C">
        <w:t xml:space="preserve">the humanitarian </w:t>
      </w:r>
      <w:r w:rsidR="003D1AAA" w:rsidRPr="003F100C">
        <w:t xml:space="preserve">and </w:t>
      </w:r>
      <w:r w:rsidR="00B272E7" w:rsidRPr="003F100C">
        <w:t>donor community</w:t>
      </w:r>
      <w:r w:rsidRPr="003F100C">
        <w:t>.</w:t>
      </w:r>
    </w:p>
    <w:p w14:paraId="48695268" w14:textId="77777777" w:rsidR="00EA416E" w:rsidRPr="003F100C" w:rsidRDefault="00EA416E" w:rsidP="00F4145C">
      <w:pPr>
        <w:jc w:val="both"/>
      </w:pPr>
    </w:p>
    <w:p w14:paraId="0B6C764E" w14:textId="592DB07D" w:rsidR="003C438A" w:rsidRPr="003F100C" w:rsidRDefault="00260E85" w:rsidP="00985C21">
      <w:pPr>
        <w:pStyle w:val="ListParagraph"/>
        <w:numPr>
          <w:ilvl w:val="0"/>
          <w:numId w:val="13"/>
        </w:numPr>
        <w:ind w:left="426" w:hanging="426"/>
        <w:rPr>
          <w:b/>
        </w:rPr>
      </w:pPr>
      <w:r w:rsidRPr="003F100C">
        <w:rPr>
          <w:b/>
        </w:rPr>
        <w:t xml:space="preserve">About the Cash-Based </w:t>
      </w:r>
      <w:r w:rsidR="00D40ADE" w:rsidRPr="003F100C">
        <w:rPr>
          <w:b/>
        </w:rPr>
        <w:t>Interventions</w:t>
      </w:r>
      <w:r w:rsidRPr="003F100C">
        <w:rPr>
          <w:b/>
        </w:rPr>
        <w:t xml:space="preserve"> </w:t>
      </w:r>
      <w:r w:rsidR="007E33C6" w:rsidRPr="003F100C">
        <w:rPr>
          <w:b/>
        </w:rPr>
        <w:t xml:space="preserve">Technical </w:t>
      </w:r>
      <w:r w:rsidRPr="003F100C">
        <w:rPr>
          <w:b/>
        </w:rPr>
        <w:t>Working Group</w:t>
      </w:r>
      <w:r w:rsidR="00281F6A" w:rsidRPr="003F100C">
        <w:rPr>
          <w:b/>
        </w:rPr>
        <w:t xml:space="preserve"> (CBI T</w:t>
      </w:r>
      <w:r w:rsidR="007E33C6" w:rsidRPr="003F100C">
        <w:rPr>
          <w:b/>
        </w:rPr>
        <w:t>WG)</w:t>
      </w:r>
    </w:p>
    <w:p w14:paraId="4FC3BAEF" w14:textId="77777777" w:rsidR="00EA416E" w:rsidRPr="003F100C" w:rsidRDefault="007E33C6" w:rsidP="009D546A">
      <w:pPr>
        <w:jc w:val="both"/>
      </w:pPr>
      <w:r w:rsidRPr="003F100C">
        <w:t xml:space="preserve">The Cash-Based Interventions Technical Working Group </w:t>
      </w:r>
      <w:r w:rsidR="00977C8F" w:rsidRPr="003F100C">
        <w:t xml:space="preserve">aims to support the </w:t>
      </w:r>
      <w:r w:rsidRPr="003F100C">
        <w:t xml:space="preserve">broader effort to coordinate the </w:t>
      </w:r>
      <w:r w:rsidR="00273DC3" w:rsidRPr="003F100C">
        <w:t>humanitarian response for</w:t>
      </w:r>
      <w:r w:rsidRPr="003F100C">
        <w:t xml:space="preserve"> refugees in Turkey through the provision of </w:t>
      </w:r>
      <w:r w:rsidR="00E3561D" w:rsidRPr="003F100C">
        <w:t>cash-based assistance</w:t>
      </w:r>
      <w:r w:rsidR="0032387F" w:rsidRPr="003F100C">
        <w:t xml:space="preserve">. </w:t>
      </w:r>
    </w:p>
    <w:p w14:paraId="0FAEDE5F" w14:textId="3C5194C6" w:rsidR="00C82B62" w:rsidRPr="003F100C" w:rsidRDefault="0032387F" w:rsidP="009D546A">
      <w:pPr>
        <w:jc w:val="both"/>
      </w:pPr>
      <w:r w:rsidRPr="003F100C">
        <w:t>Considering the need to ensure coherence with overall humanitarian policy and coordination at national level, large geographical coverage and participation of new actors, t</w:t>
      </w:r>
      <w:r w:rsidR="00843D82" w:rsidRPr="003F100C">
        <w:t xml:space="preserve">he CBI TWG </w:t>
      </w:r>
      <w:r w:rsidR="00EA416E" w:rsidRPr="003F100C">
        <w:t>acts as</w:t>
      </w:r>
      <w:r w:rsidR="00843D82" w:rsidRPr="003F100C">
        <w:t xml:space="preserve"> a national </w:t>
      </w:r>
      <w:r w:rsidR="003B637E" w:rsidRPr="003F100C">
        <w:t xml:space="preserve">technical </w:t>
      </w:r>
      <w:r w:rsidRPr="003F100C">
        <w:t>working group based in Ankara</w:t>
      </w:r>
      <w:r w:rsidR="00EA416E" w:rsidRPr="003F100C">
        <w:t>;</w:t>
      </w:r>
      <w:r w:rsidRPr="003F100C">
        <w:t xml:space="preserve"> and convened </w:t>
      </w:r>
      <w:r w:rsidR="00EA416E" w:rsidRPr="003F100C">
        <w:t xml:space="preserve">with a hybrid approach both in-person, and online/virtual. </w:t>
      </w:r>
    </w:p>
    <w:p w14:paraId="5B033A05" w14:textId="173CF540" w:rsidR="00260E85" w:rsidRPr="003F100C" w:rsidRDefault="00D063C2" w:rsidP="009D546A">
      <w:pPr>
        <w:jc w:val="both"/>
      </w:pPr>
      <w:r w:rsidRPr="003F100C">
        <w:t xml:space="preserve">The CBI TWG </w:t>
      </w:r>
      <w:r w:rsidR="00E3561D" w:rsidRPr="003F100C">
        <w:t xml:space="preserve">is an intersectoral platform which </w:t>
      </w:r>
      <w:r w:rsidRPr="003F100C">
        <w:t xml:space="preserve">serves </w:t>
      </w:r>
      <w:r w:rsidR="00E3561D" w:rsidRPr="003F100C">
        <w:t>all</w:t>
      </w:r>
      <w:r w:rsidRPr="003F100C">
        <w:t xml:space="preserve"> working groups in Turkey, across the sectors, to meet the needs of the refugees through cash and voucher based assistance, by addressing issues such as efficiency of the systems for delivery, harmonization of monitoring and evaluation frameworks, technical aspects of the definition of the transfer value against the market trends.</w:t>
      </w:r>
    </w:p>
    <w:p w14:paraId="25D5A7B0" w14:textId="5E42547B" w:rsidR="00843162" w:rsidRPr="003F100C" w:rsidRDefault="00281F6A" w:rsidP="00B477BB">
      <w:pPr>
        <w:jc w:val="both"/>
      </w:pPr>
      <w:r w:rsidRPr="003F100C">
        <w:t>The CBI T</w:t>
      </w:r>
      <w:r w:rsidR="007E33C6" w:rsidRPr="003F100C">
        <w:t>WG</w:t>
      </w:r>
      <w:r w:rsidR="005C50DC" w:rsidRPr="003F100C">
        <w:t>,</w:t>
      </w:r>
      <w:r w:rsidR="007E33C6" w:rsidRPr="003F100C">
        <w:t xml:space="preserve"> </w:t>
      </w:r>
      <w:r w:rsidR="005C50DC" w:rsidRPr="003F100C">
        <w:t xml:space="preserve">at an operational and technical level, </w:t>
      </w:r>
      <w:r w:rsidR="007E33C6" w:rsidRPr="003F100C">
        <w:t xml:space="preserve">is intended to be a mechanism </w:t>
      </w:r>
      <w:r w:rsidR="008E6222" w:rsidRPr="003F100C">
        <w:t>of targeted information sharing</w:t>
      </w:r>
      <w:r w:rsidR="00B477BB" w:rsidRPr="003F100C">
        <w:t>, appropriate harmonization of approaches, determining and coordinating joint advocacy efforts, agreeing relevant minimum standards</w:t>
      </w:r>
      <w:r w:rsidR="008E6222" w:rsidRPr="003F100C">
        <w:t xml:space="preserve"> and planning to improve </w:t>
      </w:r>
      <w:r w:rsidR="00EE30B2" w:rsidRPr="003F100C">
        <w:t>targeting of the most vulnerable</w:t>
      </w:r>
      <w:r w:rsidR="000056E3" w:rsidRPr="003F100C">
        <w:t xml:space="preserve"> households</w:t>
      </w:r>
      <w:r w:rsidR="00EE30B2" w:rsidRPr="003F100C">
        <w:t xml:space="preserve"> </w:t>
      </w:r>
      <w:r w:rsidR="008E6222" w:rsidRPr="003F100C">
        <w:t xml:space="preserve">and increase their resilience to future </w:t>
      </w:r>
      <w:r w:rsidR="00273DC3" w:rsidRPr="003F100C">
        <w:t>shocks and stresses</w:t>
      </w:r>
      <w:r w:rsidR="00843162" w:rsidRPr="003F100C">
        <w:t xml:space="preserve">. </w:t>
      </w:r>
    </w:p>
    <w:p w14:paraId="108EC490" w14:textId="75E5EC64" w:rsidR="00843162" w:rsidRPr="003F100C" w:rsidRDefault="00C32844" w:rsidP="00B477BB">
      <w:pPr>
        <w:jc w:val="both"/>
      </w:pPr>
      <w:r w:rsidRPr="003F100C">
        <w:t xml:space="preserve">Its </w:t>
      </w:r>
      <w:r w:rsidR="00DA39E9" w:rsidRPr="003F100C">
        <w:t xml:space="preserve">aims </w:t>
      </w:r>
      <w:r w:rsidRPr="003F100C">
        <w:t xml:space="preserve">to </w:t>
      </w:r>
      <w:r w:rsidR="009566AA" w:rsidRPr="003F100C">
        <w:t xml:space="preserve">harmonize, and </w:t>
      </w:r>
      <w:r w:rsidRPr="003F100C">
        <w:t>capitalize on</w:t>
      </w:r>
      <w:r w:rsidR="009566AA" w:rsidRPr="003F100C">
        <w:t>,</w:t>
      </w:r>
      <w:r w:rsidRPr="003F100C">
        <w:t xml:space="preserve"> existing cash and voucher</w:t>
      </w:r>
      <w:r w:rsidR="00DA39E9" w:rsidRPr="003F100C">
        <w:t xml:space="preserve"> </w:t>
      </w:r>
      <w:r w:rsidRPr="003F100C">
        <w:t xml:space="preserve">based programming efforts from </w:t>
      </w:r>
      <w:r w:rsidR="003A629F" w:rsidRPr="003F100C">
        <w:t xml:space="preserve">Government actors, </w:t>
      </w:r>
      <w:r w:rsidRPr="003F100C">
        <w:t>UN</w:t>
      </w:r>
      <w:r w:rsidR="007F4912" w:rsidRPr="003F100C">
        <w:t xml:space="preserve">, </w:t>
      </w:r>
      <w:r w:rsidRPr="003F100C">
        <w:t>NGO</w:t>
      </w:r>
      <w:r w:rsidR="00B477BB" w:rsidRPr="003F100C">
        <w:t>s</w:t>
      </w:r>
      <w:r w:rsidR="001E282B" w:rsidRPr="003F100C">
        <w:t>, the Turkish Red Crescent, the International Federation of the Red Cross and Red Crescent Societies</w:t>
      </w:r>
      <w:r w:rsidRPr="003F100C">
        <w:t xml:space="preserve"> </w:t>
      </w:r>
      <w:r w:rsidR="007F4912" w:rsidRPr="003F100C">
        <w:t xml:space="preserve">and any other relevant actors, </w:t>
      </w:r>
      <w:r w:rsidRPr="003F100C">
        <w:t>in order to ensure a more coordinated</w:t>
      </w:r>
      <w:r w:rsidR="00A179FA" w:rsidRPr="003F100C">
        <w:t xml:space="preserve"> and </w:t>
      </w:r>
      <w:r w:rsidR="00B477BB" w:rsidRPr="003F100C">
        <w:t>effective</w:t>
      </w:r>
      <w:r w:rsidRPr="003F100C">
        <w:t xml:space="preserve"> response with minimal gaps and duplications</w:t>
      </w:r>
      <w:r w:rsidR="00A179FA" w:rsidRPr="003F100C">
        <w:t xml:space="preserve"> and increased quality and accountability of programming</w:t>
      </w:r>
      <w:r w:rsidRPr="003F100C">
        <w:t>.</w:t>
      </w:r>
    </w:p>
    <w:p w14:paraId="7CEC93D0" w14:textId="31039338" w:rsidR="00DA39E9" w:rsidRPr="003F100C" w:rsidRDefault="003F100C">
      <w:pPr>
        <w:jc w:val="both"/>
      </w:pPr>
      <w:r w:rsidRPr="003F100C">
        <w:t>Participation</w:t>
      </w:r>
      <w:r w:rsidR="000C5186" w:rsidRPr="003F100C">
        <w:t xml:space="preserve"> into </w:t>
      </w:r>
      <w:r w:rsidR="00273DC3" w:rsidRPr="003F100C">
        <w:t>CBI TW</w:t>
      </w:r>
      <w:r w:rsidR="00146600" w:rsidRPr="003F100C">
        <w:t>G</w:t>
      </w:r>
      <w:r w:rsidR="008E6222" w:rsidRPr="003F100C">
        <w:t xml:space="preserve"> is open to all humanitarian partners including international and local NGOs, </w:t>
      </w:r>
      <w:r w:rsidR="001E282B" w:rsidRPr="003F100C">
        <w:t>the Turkish Red Crescent, the International Federation of the Red Cross and Red Crescent Societies</w:t>
      </w:r>
      <w:r w:rsidR="008E6222" w:rsidRPr="003F100C">
        <w:t>, concerned government departments, U</w:t>
      </w:r>
      <w:r w:rsidR="000C5186" w:rsidRPr="003F100C">
        <w:t>N agencies</w:t>
      </w:r>
      <w:r w:rsidR="001E282B" w:rsidRPr="003F100C">
        <w:t>,</w:t>
      </w:r>
      <w:r w:rsidR="000C5186" w:rsidRPr="003F100C">
        <w:t xml:space="preserve"> donors within </w:t>
      </w:r>
      <w:r w:rsidR="00843D82" w:rsidRPr="003F100C">
        <w:t>the 3RP Response in Turkey</w:t>
      </w:r>
      <w:r w:rsidR="001E282B" w:rsidRPr="003F100C">
        <w:t xml:space="preserve"> and any other relevant actors</w:t>
      </w:r>
      <w:r w:rsidR="008E6222" w:rsidRPr="003F100C">
        <w:t>; primarily organizations with previous</w:t>
      </w:r>
      <w:r w:rsidR="00B477BB" w:rsidRPr="003F100C">
        <w:t>/current</w:t>
      </w:r>
      <w:r w:rsidR="008E6222" w:rsidRPr="003F100C">
        <w:t xml:space="preserve"> experience in cash or voucher-based interventions, and those planning to implement such interventions in future. </w:t>
      </w:r>
    </w:p>
    <w:p w14:paraId="72DE6688" w14:textId="77777777" w:rsidR="00DA39E9" w:rsidRPr="003F100C" w:rsidRDefault="00273DC3">
      <w:pPr>
        <w:jc w:val="both"/>
      </w:pPr>
      <w:r w:rsidRPr="003F100C">
        <w:t xml:space="preserve">Participating agencies are encouraged to send technical/programmatic representatives in order to contribute to the greatest possible extent. All actors planning or implementing cash-based interventions in Turkey (in support of refugee populations) are strongly encouraged to attend the Working Group and share information regularly. </w:t>
      </w:r>
    </w:p>
    <w:p w14:paraId="37FEEDC5" w14:textId="157C04D7" w:rsidR="00F4145C" w:rsidRPr="003F100C" w:rsidRDefault="00843D82">
      <w:pPr>
        <w:jc w:val="both"/>
      </w:pPr>
      <w:r w:rsidRPr="003F100C">
        <w:lastRenderedPageBreak/>
        <w:t xml:space="preserve">Sector leads and co-leads are </w:t>
      </w:r>
      <w:r w:rsidR="00DA39E9" w:rsidRPr="003F100C">
        <w:t>expected</w:t>
      </w:r>
      <w:r w:rsidRPr="003F100C">
        <w:t xml:space="preserve"> to </w:t>
      </w:r>
      <w:r w:rsidR="00DA39E9" w:rsidRPr="003F100C">
        <w:t>participate in the CBI TWG regularly and remain abreast of the cash programming in Turkey.</w:t>
      </w:r>
    </w:p>
    <w:p w14:paraId="21CB621B" w14:textId="77777777" w:rsidR="00DA39E9" w:rsidRPr="003F100C" w:rsidRDefault="00DA39E9">
      <w:pPr>
        <w:jc w:val="both"/>
      </w:pPr>
    </w:p>
    <w:p w14:paraId="2E203B23" w14:textId="217CD574" w:rsidR="0013325B" w:rsidRPr="003F100C" w:rsidRDefault="0013325B" w:rsidP="00985C21">
      <w:pPr>
        <w:pStyle w:val="ListParagraph"/>
        <w:numPr>
          <w:ilvl w:val="0"/>
          <w:numId w:val="13"/>
        </w:numPr>
        <w:ind w:left="426" w:hanging="426"/>
        <w:rPr>
          <w:b/>
        </w:rPr>
      </w:pPr>
      <w:r w:rsidRPr="003F100C">
        <w:rPr>
          <w:b/>
        </w:rPr>
        <w:t xml:space="preserve">Overarching Outcomes of the </w:t>
      </w:r>
      <w:r w:rsidR="00273DC3" w:rsidRPr="003F100C">
        <w:rPr>
          <w:b/>
        </w:rPr>
        <w:t>CBI TW</w:t>
      </w:r>
      <w:r w:rsidR="00146600" w:rsidRPr="003F100C">
        <w:rPr>
          <w:b/>
        </w:rPr>
        <w:t>G</w:t>
      </w:r>
    </w:p>
    <w:p w14:paraId="2589744D" w14:textId="621A7367" w:rsidR="00861092" w:rsidRPr="003F100C" w:rsidRDefault="00861092" w:rsidP="00AA0098">
      <w:r w:rsidRPr="003F100C">
        <w:t xml:space="preserve">To </w:t>
      </w:r>
      <w:r w:rsidR="00F26289" w:rsidRPr="003F100C">
        <w:rPr>
          <w:b/>
        </w:rPr>
        <w:t>coordinat</w:t>
      </w:r>
      <w:r w:rsidR="007875D3" w:rsidRPr="003F100C">
        <w:rPr>
          <w:b/>
        </w:rPr>
        <w:t>e and promote participation</w:t>
      </w:r>
      <w:r w:rsidR="00F26289" w:rsidRPr="003F100C">
        <w:t xml:space="preserve"> </w:t>
      </w:r>
      <w:r w:rsidR="00273DC3" w:rsidRPr="003F100C">
        <w:t>of</w:t>
      </w:r>
      <w:r w:rsidR="007875D3" w:rsidRPr="003F100C">
        <w:t xml:space="preserve"> humanitarian actors in Turkey</w:t>
      </w:r>
      <w:r w:rsidR="00273DC3" w:rsidRPr="003F100C">
        <w:t xml:space="preserve"> </w:t>
      </w:r>
      <w:r w:rsidR="007875D3" w:rsidRPr="003F100C">
        <w:t xml:space="preserve">towards efficient and effective </w:t>
      </w:r>
      <w:r w:rsidR="00C82B62" w:rsidRPr="003F100C">
        <w:t>cash based interventions</w:t>
      </w:r>
      <w:r w:rsidR="00273DC3" w:rsidRPr="003F100C">
        <w:t xml:space="preserve"> for</w:t>
      </w:r>
      <w:r w:rsidR="00536BE4" w:rsidRPr="003F100C">
        <w:t xml:space="preserve"> </w:t>
      </w:r>
      <w:r w:rsidR="006345DD" w:rsidRPr="003F100C">
        <w:t>multi-sectoral</w:t>
      </w:r>
      <w:r w:rsidR="00273DC3" w:rsidRPr="003F100C">
        <w:t xml:space="preserve"> and/or multi-purpose</w:t>
      </w:r>
      <w:r w:rsidR="006345DD" w:rsidRPr="003F100C">
        <w:t xml:space="preserve"> responses </w:t>
      </w:r>
      <w:r w:rsidR="00536BE4" w:rsidRPr="003F100C">
        <w:t>to address the needs</w:t>
      </w:r>
      <w:r w:rsidR="006345DD" w:rsidRPr="003F100C">
        <w:t xml:space="preserve"> </w:t>
      </w:r>
      <w:r w:rsidR="00F26289" w:rsidRPr="003F100C">
        <w:t xml:space="preserve">of the most </w:t>
      </w:r>
      <w:r w:rsidRPr="003F100C">
        <w:t>vulnerable</w:t>
      </w:r>
      <w:r w:rsidR="00273DC3" w:rsidRPr="003F100C">
        <w:t xml:space="preserve"> refugee</w:t>
      </w:r>
      <w:r w:rsidRPr="003F100C">
        <w:t xml:space="preserve"> households</w:t>
      </w:r>
      <w:r w:rsidR="007875D3" w:rsidRPr="003F100C">
        <w:t>.</w:t>
      </w:r>
    </w:p>
    <w:p w14:paraId="253F657F" w14:textId="14EC8D33" w:rsidR="002B34FD" w:rsidRPr="003F100C" w:rsidRDefault="00AF2065" w:rsidP="00AF2065">
      <w:pPr>
        <w:pStyle w:val="ListParagraph"/>
        <w:numPr>
          <w:ilvl w:val="0"/>
          <w:numId w:val="7"/>
        </w:numPr>
      </w:pPr>
      <w:r w:rsidRPr="003F100C">
        <w:t xml:space="preserve">To </w:t>
      </w:r>
      <w:r w:rsidR="00536BE4" w:rsidRPr="003F100C">
        <w:t xml:space="preserve">provide technical </w:t>
      </w:r>
      <w:r w:rsidR="00536BE4" w:rsidRPr="003F100C">
        <w:rPr>
          <w:b/>
        </w:rPr>
        <w:t>guidance</w:t>
      </w:r>
      <w:r w:rsidR="007875D3" w:rsidRPr="003F100C">
        <w:rPr>
          <w:b/>
        </w:rPr>
        <w:t>, advi</w:t>
      </w:r>
      <w:r w:rsidR="00591577" w:rsidRPr="003F100C">
        <w:rPr>
          <w:b/>
        </w:rPr>
        <w:t>c</w:t>
      </w:r>
      <w:r w:rsidR="007875D3" w:rsidRPr="003F100C">
        <w:rPr>
          <w:b/>
        </w:rPr>
        <w:t>e</w:t>
      </w:r>
      <w:r w:rsidR="00536BE4" w:rsidRPr="003F100C">
        <w:t xml:space="preserve">, </w:t>
      </w:r>
      <w:r w:rsidR="00536BE4" w:rsidRPr="003F100C">
        <w:rPr>
          <w:b/>
        </w:rPr>
        <w:t xml:space="preserve">and </w:t>
      </w:r>
      <w:r w:rsidRPr="003F100C">
        <w:rPr>
          <w:b/>
        </w:rPr>
        <w:t xml:space="preserve">support </w:t>
      </w:r>
      <w:r w:rsidR="007875D3" w:rsidRPr="003F100C">
        <w:rPr>
          <w:b/>
        </w:rPr>
        <w:t>to</w:t>
      </w:r>
      <w:r w:rsidR="007875D3" w:rsidRPr="003F100C">
        <w:t xml:space="preserve"> enhance the</w:t>
      </w:r>
      <w:r w:rsidRPr="003F100C">
        <w:t xml:space="preserve"> harmonization of approaches, </w:t>
      </w:r>
      <w:r w:rsidR="007875D3" w:rsidRPr="003F100C">
        <w:t xml:space="preserve">the </w:t>
      </w:r>
      <w:r w:rsidRPr="003F100C">
        <w:t>accountability</w:t>
      </w:r>
      <w:r w:rsidR="0059428A" w:rsidRPr="003F100C">
        <w:t xml:space="preserve">, and </w:t>
      </w:r>
      <w:r w:rsidR="007875D3" w:rsidRPr="003F100C">
        <w:t xml:space="preserve">the </w:t>
      </w:r>
      <w:r w:rsidRPr="003F100C">
        <w:t>quality of CBI programming i</w:t>
      </w:r>
      <w:r w:rsidR="00F05D84" w:rsidRPr="003F100C">
        <w:t>n Turkey;</w:t>
      </w:r>
    </w:p>
    <w:p w14:paraId="0C258378" w14:textId="698EEB2A" w:rsidR="00536BE4" w:rsidRPr="003F100C" w:rsidRDefault="00536BE4" w:rsidP="00AF2065">
      <w:pPr>
        <w:pStyle w:val="ListParagraph"/>
        <w:numPr>
          <w:ilvl w:val="0"/>
          <w:numId w:val="7"/>
        </w:numPr>
      </w:pPr>
      <w:r w:rsidRPr="003F100C">
        <w:t xml:space="preserve">Contribute to and provide technical </w:t>
      </w:r>
      <w:r w:rsidRPr="003F100C">
        <w:rPr>
          <w:b/>
        </w:rPr>
        <w:t xml:space="preserve">capacity </w:t>
      </w:r>
      <w:r w:rsidR="007875D3" w:rsidRPr="003F100C">
        <w:rPr>
          <w:b/>
        </w:rPr>
        <w:t xml:space="preserve">development </w:t>
      </w:r>
      <w:r w:rsidR="007875D3" w:rsidRPr="003F100C">
        <w:t xml:space="preserve">to humanitarian community in Turkey </w:t>
      </w:r>
      <w:r w:rsidR="00591577" w:rsidRPr="003F100C">
        <w:t>in the domain of</w:t>
      </w:r>
      <w:r w:rsidR="007875D3" w:rsidRPr="003F100C">
        <w:t xml:space="preserve"> CBI.</w:t>
      </w:r>
      <w:r w:rsidR="00482C49" w:rsidRPr="003F100C">
        <w:t xml:space="preserve"> </w:t>
      </w:r>
    </w:p>
    <w:p w14:paraId="16314D44" w14:textId="4862E510" w:rsidR="003D6C73" w:rsidRPr="003F100C" w:rsidRDefault="003D6C73" w:rsidP="00AF2065">
      <w:pPr>
        <w:pStyle w:val="ListParagraph"/>
        <w:numPr>
          <w:ilvl w:val="0"/>
          <w:numId w:val="7"/>
        </w:numPr>
      </w:pPr>
      <w:r w:rsidRPr="003F100C">
        <w:t xml:space="preserve">Promote </w:t>
      </w:r>
      <w:r w:rsidR="00E20488" w:rsidRPr="003F100C">
        <w:rPr>
          <w:b/>
        </w:rPr>
        <w:t xml:space="preserve">information </w:t>
      </w:r>
      <w:r w:rsidR="007875D3" w:rsidRPr="003F100C">
        <w:rPr>
          <w:b/>
        </w:rPr>
        <w:t>sharing</w:t>
      </w:r>
      <w:r w:rsidR="00E20488" w:rsidRPr="003F100C">
        <w:rPr>
          <w:b/>
        </w:rPr>
        <w:t xml:space="preserve"> and knowledge</w:t>
      </w:r>
      <w:r w:rsidRPr="003F100C">
        <w:rPr>
          <w:b/>
        </w:rPr>
        <w:t xml:space="preserve"> management</w:t>
      </w:r>
      <w:r w:rsidR="007875D3" w:rsidRPr="003F100C">
        <w:rPr>
          <w:b/>
        </w:rPr>
        <w:t>,</w:t>
      </w:r>
      <w:r w:rsidRPr="003F100C">
        <w:t xml:space="preserve"> and learning </w:t>
      </w:r>
      <w:r w:rsidR="00F05D84" w:rsidRPr="003F100C">
        <w:t>amongst CBI actors</w:t>
      </w:r>
      <w:r w:rsidR="007875D3" w:rsidRPr="003F100C">
        <w:t xml:space="preserve"> and across sectors</w:t>
      </w:r>
      <w:r w:rsidR="00F14BCC" w:rsidRPr="003F100C">
        <w:t>;</w:t>
      </w:r>
    </w:p>
    <w:p w14:paraId="7C6DE5CB" w14:textId="1A45C1CC" w:rsidR="00D15A0E" w:rsidRPr="003F100C" w:rsidRDefault="007875D3" w:rsidP="00AF2065">
      <w:pPr>
        <w:pStyle w:val="ListParagraph"/>
        <w:numPr>
          <w:ilvl w:val="0"/>
          <w:numId w:val="7"/>
        </w:numPr>
      </w:pPr>
      <w:r w:rsidRPr="003F100C">
        <w:rPr>
          <w:b/>
        </w:rPr>
        <w:t>A</w:t>
      </w:r>
      <w:r w:rsidR="00D15A0E" w:rsidRPr="003F100C">
        <w:rPr>
          <w:b/>
        </w:rPr>
        <w:t xml:space="preserve">ssist </w:t>
      </w:r>
      <w:r w:rsidR="005E3F90" w:rsidRPr="003F100C">
        <w:rPr>
          <w:b/>
        </w:rPr>
        <w:t>and advocate</w:t>
      </w:r>
      <w:r w:rsidR="005E3F90" w:rsidRPr="003F100C">
        <w:t xml:space="preserve"> to </w:t>
      </w:r>
      <w:r w:rsidR="00D15A0E" w:rsidRPr="003F100C">
        <w:t>sector working groups</w:t>
      </w:r>
      <w:r w:rsidR="00D33418" w:rsidRPr="003F100C">
        <w:t xml:space="preserve"> </w:t>
      </w:r>
      <w:r w:rsidR="00D15A0E" w:rsidRPr="003F100C">
        <w:t xml:space="preserve">to incorporate CBI into </w:t>
      </w:r>
      <w:r w:rsidR="00F26289" w:rsidRPr="003F100C">
        <w:t>their</w:t>
      </w:r>
      <w:r w:rsidR="00D15A0E" w:rsidRPr="003F100C">
        <w:t xml:space="preserve"> coordination mechanism</w:t>
      </w:r>
      <w:r w:rsidR="00D33418" w:rsidRPr="003F100C">
        <w:t xml:space="preserve"> more efficiently and effectively</w:t>
      </w:r>
      <w:r w:rsidR="00D15A0E" w:rsidRPr="003F100C">
        <w:t xml:space="preserve">. </w:t>
      </w:r>
    </w:p>
    <w:p w14:paraId="2178E723" w14:textId="77777777" w:rsidR="00482C49" w:rsidRPr="003F100C" w:rsidRDefault="00482C49">
      <w:pPr>
        <w:rPr>
          <w:b/>
        </w:rPr>
      </w:pPr>
    </w:p>
    <w:p w14:paraId="1F159083" w14:textId="5783123A" w:rsidR="000C5186" w:rsidRPr="003F100C" w:rsidRDefault="000C5186" w:rsidP="00985C21">
      <w:pPr>
        <w:pStyle w:val="ListParagraph"/>
        <w:numPr>
          <w:ilvl w:val="0"/>
          <w:numId w:val="13"/>
        </w:numPr>
        <w:ind w:left="426" w:hanging="426"/>
        <w:rPr>
          <w:b/>
        </w:rPr>
      </w:pPr>
      <w:r w:rsidRPr="003F100C">
        <w:rPr>
          <w:b/>
        </w:rPr>
        <w:t xml:space="preserve">Expected Outputs of the </w:t>
      </w:r>
      <w:r w:rsidR="00146600" w:rsidRPr="003F100C">
        <w:rPr>
          <w:b/>
        </w:rPr>
        <w:t>CBI TWG</w:t>
      </w:r>
    </w:p>
    <w:p w14:paraId="1955BD7F" w14:textId="6B188505" w:rsidR="00E22D2C" w:rsidRPr="003F100C" w:rsidRDefault="00E22D2C" w:rsidP="00E22D2C">
      <w:pPr>
        <w:rPr>
          <w:b/>
          <w:i/>
        </w:rPr>
      </w:pPr>
      <w:r w:rsidRPr="003F100C">
        <w:rPr>
          <w:b/>
          <w:i/>
        </w:rPr>
        <w:t>Information Sharing</w:t>
      </w:r>
      <w:r w:rsidR="009051E4" w:rsidRPr="003F100C">
        <w:rPr>
          <w:b/>
          <w:i/>
        </w:rPr>
        <w:t xml:space="preserve"> and knowledge management</w:t>
      </w:r>
      <w:r w:rsidR="000056E3" w:rsidRPr="003F100C">
        <w:rPr>
          <w:b/>
          <w:i/>
        </w:rPr>
        <w:t>:</w:t>
      </w:r>
    </w:p>
    <w:p w14:paraId="6872CE17" w14:textId="2801ACE0" w:rsidR="00F14BCC" w:rsidRPr="003F100C" w:rsidRDefault="00F14BCC" w:rsidP="003F100C">
      <w:pPr>
        <w:pStyle w:val="ListParagraph"/>
        <w:numPr>
          <w:ilvl w:val="0"/>
          <w:numId w:val="16"/>
        </w:numPr>
      </w:pPr>
      <w:r w:rsidRPr="003F100C">
        <w:t>Map existing CBIs in Turkey</w:t>
      </w:r>
      <w:r w:rsidR="00591577" w:rsidRPr="003F100C">
        <w:t xml:space="preserve"> to</w:t>
      </w:r>
      <w:r w:rsidRPr="003F100C">
        <w:t xml:space="preserve"> ident</w:t>
      </w:r>
      <w:r w:rsidR="00591577" w:rsidRPr="003F100C">
        <w:t>if</w:t>
      </w:r>
      <w:r w:rsidRPr="003F100C">
        <w:t xml:space="preserve">y </w:t>
      </w:r>
      <w:r w:rsidR="00591577" w:rsidRPr="003F100C">
        <w:t>trends</w:t>
      </w:r>
      <w:r w:rsidR="00DA39E9" w:rsidRPr="003F100C">
        <w:t xml:space="preserve">, gaps </w:t>
      </w:r>
      <w:r w:rsidR="00591577" w:rsidRPr="003F100C">
        <w:t xml:space="preserve">and potential areas </w:t>
      </w:r>
      <w:r w:rsidR="00DA39E9" w:rsidRPr="003F100C">
        <w:t>of</w:t>
      </w:r>
      <w:r w:rsidR="00591577" w:rsidRPr="003F100C">
        <w:t xml:space="preserve"> collaboration and harmonization, </w:t>
      </w:r>
      <w:r w:rsidRPr="003F100C">
        <w:t xml:space="preserve">and advise accordingly </w:t>
      </w:r>
      <w:r w:rsidR="00DA39E9" w:rsidRPr="003F100C">
        <w:t xml:space="preserve">to </w:t>
      </w:r>
      <w:r w:rsidRPr="003F100C">
        <w:t xml:space="preserve">the </w:t>
      </w:r>
      <w:r w:rsidR="003F100C" w:rsidRPr="003F100C">
        <w:t>partners</w:t>
      </w:r>
      <w:r w:rsidRPr="003F100C">
        <w:t xml:space="preserve">, </w:t>
      </w:r>
      <w:r w:rsidR="00DA39E9" w:rsidRPr="003F100C">
        <w:t xml:space="preserve">sectors, </w:t>
      </w:r>
      <w:r w:rsidRPr="003F100C">
        <w:t xml:space="preserve">STF and other </w:t>
      </w:r>
      <w:r w:rsidR="00DA39E9" w:rsidRPr="003F100C">
        <w:t xml:space="preserve">actors </w:t>
      </w:r>
      <w:r w:rsidR="00591577" w:rsidRPr="003F100C">
        <w:t xml:space="preserve"> as appropriate</w:t>
      </w:r>
      <w:r w:rsidRPr="003F100C">
        <w:t>;</w:t>
      </w:r>
    </w:p>
    <w:p w14:paraId="4DF7386E" w14:textId="77777777" w:rsidR="00DA39E9" w:rsidRPr="003F100C" w:rsidRDefault="00DA39E9" w:rsidP="003F100C">
      <w:pPr>
        <w:pStyle w:val="ListParagraph"/>
        <w:numPr>
          <w:ilvl w:val="0"/>
          <w:numId w:val="16"/>
        </w:numPr>
      </w:pPr>
      <w:r w:rsidRPr="003F100C">
        <w:t>In consultation with its partners, and in line with government regulations, develop context-specific guidelines,</w:t>
      </w:r>
    </w:p>
    <w:p w14:paraId="6BA5753E" w14:textId="50C0288C" w:rsidR="00FE3947" w:rsidRPr="003F100C" w:rsidRDefault="00DE1321" w:rsidP="003F100C">
      <w:pPr>
        <w:pStyle w:val="ListParagraph"/>
        <w:numPr>
          <w:ilvl w:val="0"/>
          <w:numId w:val="16"/>
        </w:numPr>
      </w:pPr>
      <w:r w:rsidRPr="003F100C">
        <w:t>Facilitate regular discussi</w:t>
      </w:r>
      <w:r w:rsidR="00A11742" w:rsidRPr="003F100C">
        <w:t>on on success</w:t>
      </w:r>
      <w:r w:rsidR="00F14BCC" w:rsidRPr="003F100C">
        <w:t xml:space="preserve">es, </w:t>
      </w:r>
      <w:r w:rsidR="00A11742" w:rsidRPr="003F100C">
        <w:t>challenges</w:t>
      </w:r>
      <w:r w:rsidR="00980E01" w:rsidRPr="003F100C">
        <w:t>, and best practices</w:t>
      </w:r>
      <w:r w:rsidR="00A11742" w:rsidRPr="003F100C">
        <w:t>;</w:t>
      </w:r>
    </w:p>
    <w:p w14:paraId="458FA942" w14:textId="504426FB" w:rsidR="00DE1321" w:rsidRPr="003F100C" w:rsidRDefault="00DE1321" w:rsidP="003F100C">
      <w:pPr>
        <w:pStyle w:val="ListParagraph"/>
        <w:numPr>
          <w:ilvl w:val="0"/>
          <w:numId w:val="16"/>
        </w:numPr>
      </w:pPr>
      <w:r w:rsidRPr="003F100C">
        <w:t>Identify opportunities for new approaches to cash-based programming in Turkey;</w:t>
      </w:r>
    </w:p>
    <w:p w14:paraId="7B240943" w14:textId="70BD465B" w:rsidR="002403D3" w:rsidRPr="003F100C" w:rsidRDefault="002403D3" w:rsidP="003F100C">
      <w:pPr>
        <w:pStyle w:val="ListParagraph"/>
        <w:numPr>
          <w:ilvl w:val="0"/>
          <w:numId w:val="16"/>
        </w:numPr>
        <w:spacing w:after="0" w:line="240" w:lineRule="auto"/>
      </w:pPr>
      <w:r w:rsidRPr="003F100C">
        <w:t>Ensure sharing of ava</w:t>
      </w:r>
      <w:r w:rsidR="009051E4" w:rsidRPr="003F100C">
        <w:t>ilable data on price monitoring</w:t>
      </w:r>
      <w:r w:rsidR="00DA39E9" w:rsidRPr="003F100C">
        <w:t>, market bulletin, economic updates etc</w:t>
      </w:r>
      <w:r w:rsidR="002B7A87" w:rsidRPr="003F100C">
        <w:t>.</w:t>
      </w:r>
      <w:r w:rsidR="009051E4" w:rsidRPr="003F100C">
        <w:t xml:space="preserve"> </w:t>
      </w:r>
    </w:p>
    <w:p w14:paraId="77440420" w14:textId="77777777" w:rsidR="00C742D4" w:rsidRPr="003F100C" w:rsidRDefault="00C742D4" w:rsidP="00C742D4">
      <w:pPr>
        <w:pStyle w:val="ListParagraph"/>
        <w:spacing w:after="0" w:line="240" w:lineRule="auto"/>
        <w:jc w:val="both"/>
      </w:pPr>
    </w:p>
    <w:p w14:paraId="30845157" w14:textId="07E7CC8D" w:rsidR="00E22D2C" w:rsidRPr="003F100C" w:rsidRDefault="0059428A" w:rsidP="00476924">
      <w:pPr>
        <w:jc w:val="both"/>
        <w:rPr>
          <w:b/>
          <w:i/>
        </w:rPr>
      </w:pPr>
      <w:r w:rsidRPr="003F100C">
        <w:rPr>
          <w:b/>
          <w:i/>
        </w:rPr>
        <w:t>Guidance, advi</w:t>
      </w:r>
      <w:r w:rsidR="00591577" w:rsidRPr="003F100C">
        <w:rPr>
          <w:b/>
          <w:i/>
        </w:rPr>
        <w:t>c</w:t>
      </w:r>
      <w:r w:rsidRPr="003F100C">
        <w:rPr>
          <w:b/>
          <w:i/>
        </w:rPr>
        <w:t>e and support</w:t>
      </w:r>
    </w:p>
    <w:p w14:paraId="4A772D16" w14:textId="51141C9B" w:rsidR="003051B0" w:rsidRPr="003F100C" w:rsidRDefault="003051B0" w:rsidP="003F100C">
      <w:pPr>
        <w:pStyle w:val="ListParagraph"/>
        <w:numPr>
          <w:ilvl w:val="0"/>
          <w:numId w:val="8"/>
        </w:numPr>
        <w:ind w:left="709"/>
      </w:pPr>
      <w:r w:rsidRPr="003F100C">
        <w:t xml:space="preserve">Review implementation modalities, promote existing best practices and guide </w:t>
      </w:r>
      <w:r w:rsidR="003F100C" w:rsidRPr="003F100C">
        <w:t>partners</w:t>
      </w:r>
      <w:r w:rsidR="00591577" w:rsidRPr="003F100C">
        <w:t xml:space="preserve"> and sectors in</w:t>
      </w:r>
      <w:r w:rsidRPr="003F100C">
        <w:t xml:space="preserve"> adopt</w:t>
      </w:r>
      <w:r w:rsidR="00591577" w:rsidRPr="003F100C">
        <w:t>ing</w:t>
      </w:r>
      <w:r w:rsidRPr="003F100C">
        <w:t xml:space="preserve"> existing harmonised approaches when possible;</w:t>
      </w:r>
    </w:p>
    <w:p w14:paraId="029CE250" w14:textId="483F58DA" w:rsidR="009051E4" w:rsidRPr="003F100C" w:rsidRDefault="009051E4" w:rsidP="003F100C">
      <w:pPr>
        <w:pStyle w:val="ListParagraph"/>
        <w:numPr>
          <w:ilvl w:val="0"/>
          <w:numId w:val="8"/>
        </w:numPr>
        <w:spacing w:after="0" w:line="240" w:lineRule="auto"/>
        <w:ind w:left="720"/>
      </w:pPr>
      <w:r w:rsidRPr="003F100C">
        <w:t xml:space="preserve">Review </w:t>
      </w:r>
      <w:r w:rsidR="00843D82" w:rsidRPr="003F100C">
        <w:t xml:space="preserve">and advise on </w:t>
      </w:r>
      <w:r w:rsidRPr="003F100C">
        <w:t>minimum standards of data collection and monitoring processes to inform evidence-based improvements to programming;</w:t>
      </w:r>
    </w:p>
    <w:p w14:paraId="22422C60" w14:textId="6831A7F0" w:rsidR="00237BE9" w:rsidRPr="003F100C" w:rsidRDefault="00237BE9" w:rsidP="003F100C">
      <w:pPr>
        <w:pStyle w:val="ListParagraph"/>
        <w:numPr>
          <w:ilvl w:val="0"/>
          <w:numId w:val="2"/>
        </w:numPr>
      </w:pPr>
      <w:r w:rsidRPr="003F100C">
        <w:t>Promote gender-specific and protection-</w:t>
      </w:r>
      <w:r w:rsidR="00DA39E9" w:rsidRPr="003F100C">
        <w:t xml:space="preserve">mainstreamed </w:t>
      </w:r>
      <w:r w:rsidRPr="003F100C">
        <w:t xml:space="preserve">considerations </w:t>
      </w:r>
      <w:r w:rsidR="009051E4" w:rsidRPr="003F100C">
        <w:t xml:space="preserve">and strategies for mitigating risks </w:t>
      </w:r>
      <w:r w:rsidRPr="003F100C">
        <w:t>in cash programming with due consideration of the principles of inclusion and Accountability to Affected Populations;</w:t>
      </w:r>
    </w:p>
    <w:p w14:paraId="08A22B1C" w14:textId="0771EC3B" w:rsidR="00350A37" w:rsidRPr="003F100C" w:rsidRDefault="00350A37" w:rsidP="003F100C">
      <w:pPr>
        <w:pStyle w:val="ListParagraph"/>
        <w:numPr>
          <w:ilvl w:val="0"/>
          <w:numId w:val="2"/>
        </w:numPr>
      </w:pPr>
      <w:r w:rsidRPr="003F100C">
        <w:t>Promote consideration and adaptation of new modalities and tools for CBI, including through emerging technologies;</w:t>
      </w:r>
    </w:p>
    <w:p w14:paraId="27262842" w14:textId="6675C39A" w:rsidR="00237BE9" w:rsidRPr="003F100C" w:rsidRDefault="00C742D4" w:rsidP="003F100C">
      <w:pPr>
        <w:pStyle w:val="ListParagraph"/>
        <w:numPr>
          <w:ilvl w:val="0"/>
          <w:numId w:val="2"/>
        </w:numPr>
      </w:pPr>
      <w:r w:rsidRPr="003F100C">
        <w:t xml:space="preserve">Develop minimum standards/guidelines for </w:t>
      </w:r>
      <w:r w:rsidR="00237BE9" w:rsidRPr="003F100C">
        <w:t>accountability in cash-based interve</w:t>
      </w:r>
      <w:r w:rsidR="009051E4" w:rsidRPr="003F100C">
        <w:t>ntions</w:t>
      </w:r>
      <w:r w:rsidR="005108C7" w:rsidRPr="003F100C">
        <w:t xml:space="preserve"> and encourage adoption of these by </w:t>
      </w:r>
      <w:r w:rsidR="003F100C" w:rsidRPr="003F100C">
        <w:t>partners</w:t>
      </w:r>
      <w:r w:rsidR="005108C7" w:rsidRPr="003F100C">
        <w:t xml:space="preserve"> of the CBI TWG</w:t>
      </w:r>
      <w:r w:rsidR="009051E4" w:rsidRPr="003F100C">
        <w:t>;</w:t>
      </w:r>
    </w:p>
    <w:p w14:paraId="46F32FC1" w14:textId="4EBABD75" w:rsidR="00980E01" w:rsidRPr="003F100C" w:rsidRDefault="00F03722" w:rsidP="003F100C">
      <w:pPr>
        <w:pStyle w:val="ListParagraph"/>
        <w:numPr>
          <w:ilvl w:val="0"/>
          <w:numId w:val="2"/>
        </w:numPr>
      </w:pPr>
      <w:r w:rsidRPr="003F100C">
        <w:t xml:space="preserve">Promote discussion and exchange around technical subjects related to cash transfers in Turkey, including </w:t>
      </w:r>
      <w:r w:rsidR="00B53A4A" w:rsidRPr="003F100C">
        <w:t xml:space="preserve">delivery mechanisms and platforms, </w:t>
      </w:r>
      <w:r w:rsidR="00551287" w:rsidRPr="003F100C">
        <w:t>Know-Your-Customer restrictions and data protection, payment and sweepback processes, etc</w:t>
      </w:r>
      <w:r w:rsidR="00980E01" w:rsidRPr="003F100C">
        <w:t>.</w:t>
      </w:r>
    </w:p>
    <w:p w14:paraId="5DA57FA7" w14:textId="7DE326A4" w:rsidR="00E22D2C" w:rsidRPr="003F100C" w:rsidRDefault="00E22D2C" w:rsidP="00237BE9">
      <w:pPr>
        <w:jc w:val="both"/>
        <w:rPr>
          <w:b/>
        </w:rPr>
      </w:pPr>
      <w:r w:rsidRPr="003F100C">
        <w:rPr>
          <w:b/>
          <w:i/>
        </w:rPr>
        <w:lastRenderedPageBreak/>
        <w:t>Capacity Development</w:t>
      </w:r>
    </w:p>
    <w:p w14:paraId="311F1BA3" w14:textId="7657EA62" w:rsidR="00E22D2C" w:rsidRPr="003F100C" w:rsidRDefault="00D53BF6" w:rsidP="003F100C">
      <w:pPr>
        <w:pStyle w:val="ListParagraph"/>
        <w:numPr>
          <w:ilvl w:val="0"/>
          <w:numId w:val="2"/>
        </w:numPr>
      </w:pPr>
      <w:r w:rsidRPr="003F100C">
        <w:t>Promote cash capacity building efforts at national and provincial level</w:t>
      </w:r>
      <w:r w:rsidR="003051B0" w:rsidRPr="003F100C">
        <w:t>,</w:t>
      </w:r>
      <w:r w:rsidR="003A67EB" w:rsidRPr="003F100C">
        <w:t xml:space="preserve"> including for staff of WG participants</w:t>
      </w:r>
      <w:r w:rsidR="003051B0" w:rsidRPr="003F100C">
        <w:t xml:space="preserve"> and NGOs, civil society and other relevant actors</w:t>
      </w:r>
      <w:r w:rsidR="00F53FC6" w:rsidRPr="003F100C">
        <w:t xml:space="preserve">,  </w:t>
      </w:r>
      <w:r w:rsidRPr="003F100C">
        <w:t>through the use of Global Tools, free of charge, such as</w:t>
      </w:r>
      <w:r w:rsidR="003051B0" w:rsidRPr="003F100C">
        <w:t xml:space="preserve"> e.g.</w:t>
      </w:r>
      <w:r w:rsidRPr="003F100C">
        <w:t xml:space="preserve"> the N</w:t>
      </w:r>
      <w:r w:rsidR="005108C7" w:rsidRPr="003F100C">
        <w:t xml:space="preserve">ORCAP sponsored </w:t>
      </w:r>
      <w:proofErr w:type="spellStart"/>
      <w:r w:rsidR="005108C7" w:rsidRPr="003F100C">
        <w:t>CashCap</w:t>
      </w:r>
      <w:proofErr w:type="spellEnd"/>
      <w:r w:rsidR="005108C7" w:rsidRPr="003F100C">
        <w:t xml:space="preserve"> Roster</w:t>
      </w:r>
      <w:r w:rsidR="00843D82" w:rsidRPr="003F100C">
        <w:t xml:space="preserve">, </w:t>
      </w:r>
      <w:proofErr w:type="spellStart"/>
      <w:r w:rsidR="00843D82" w:rsidRPr="003F100C">
        <w:t>CaLP</w:t>
      </w:r>
      <w:proofErr w:type="spellEnd"/>
      <w:r w:rsidR="00843D82" w:rsidRPr="003F100C">
        <w:t>;</w:t>
      </w:r>
    </w:p>
    <w:p w14:paraId="6CD10F56" w14:textId="56AFE046" w:rsidR="003A67EB" w:rsidRPr="003F100C" w:rsidRDefault="003A67EB" w:rsidP="003F100C">
      <w:pPr>
        <w:pStyle w:val="ListParagraph"/>
        <w:numPr>
          <w:ilvl w:val="0"/>
          <w:numId w:val="2"/>
        </w:numPr>
      </w:pPr>
      <w:r w:rsidRPr="003F100C">
        <w:t>Capitalize on capacity building opportunities or resources which are available through participating agencies at regional/global level;</w:t>
      </w:r>
    </w:p>
    <w:p w14:paraId="7CDDBBD0" w14:textId="4A0D284E" w:rsidR="003A67EB" w:rsidRPr="003F100C" w:rsidRDefault="003A67EB" w:rsidP="003F100C">
      <w:pPr>
        <w:pStyle w:val="ListParagraph"/>
        <w:numPr>
          <w:ilvl w:val="0"/>
          <w:numId w:val="2"/>
        </w:numPr>
      </w:pPr>
      <w:r w:rsidRPr="003F100C">
        <w:t>Ensure adequate training opportunities and tools are provided to participating agencies in order to enable high quality implementation of tools, guidelines and minimum standards developed by the CBI TWG.</w:t>
      </w:r>
    </w:p>
    <w:p w14:paraId="1173FA42" w14:textId="02CAE0F7" w:rsidR="00F53FC6" w:rsidRPr="003F100C" w:rsidRDefault="001A6F70" w:rsidP="00065BC6">
      <w:pPr>
        <w:jc w:val="both"/>
        <w:rPr>
          <w:b/>
          <w:i/>
        </w:rPr>
      </w:pPr>
      <w:r w:rsidRPr="003F100C">
        <w:rPr>
          <w:b/>
          <w:i/>
        </w:rPr>
        <w:t xml:space="preserve">Technical </w:t>
      </w:r>
      <w:r w:rsidR="00F14BCC" w:rsidRPr="003F100C">
        <w:rPr>
          <w:b/>
          <w:i/>
        </w:rPr>
        <w:t>assistance and a</w:t>
      </w:r>
      <w:r w:rsidR="00F53FC6" w:rsidRPr="003F100C">
        <w:rPr>
          <w:b/>
          <w:i/>
        </w:rPr>
        <w:t>dvocacy</w:t>
      </w:r>
    </w:p>
    <w:p w14:paraId="295478BD" w14:textId="530976BF" w:rsidR="00E22D2C" w:rsidRPr="003F100C" w:rsidRDefault="00E22D2C" w:rsidP="00843D82">
      <w:pPr>
        <w:pStyle w:val="ListParagraph"/>
        <w:numPr>
          <w:ilvl w:val="0"/>
          <w:numId w:val="2"/>
        </w:numPr>
        <w:jc w:val="both"/>
      </w:pPr>
      <w:r w:rsidRPr="003F100C">
        <w:t xml:space="preserve">Where </w:t>
      </w:r>
      <w:r w:rsidR="00843D82" w:rsidRPr="003F100C">
        <w:t xml:space="preserve">possible (depending on programming and taking into account different levels of services provided) </w:t>
      </w:r>
      <w:r w:rsidR="003051B0" w:rsidRPr="003F100C">
        <w:t xml:space="preserve">promote </w:t>
      </w:r>
      <w:r w:rsidR="00843D82" w:rsidRPr="003F100C">
        <w:t>harmoniz</w:t>
      </w:r>
      <w:r w:rsidR="003051B0" w:rsidRPr="003F100C">
        <w:t xml:space="preserve">ation of </w:t>
      </w:r>
      <w:r w:rsidR="00843D82" w:rsidRPr="003F100C">
        <w:t>the</w:t>
      </w:r>
      <w:r w:rsidR="003051B0" w:rsidRPr="003F100C">
        <w:t xml:space="preserve"> standards</w:t>
      </w:r>
      <w:r w:rsidR="00843D82" w:rsidRPr="003F100C">
        <w:t xml:space="preserve"> </w:t>
      </w:r>
      <w:r w:rsidR="003051B0" w:rsidRPr="003F100C">
        <w:t xml:space="preserve">for </w:t>
      </w:r>
      <w:r w:rsidR="00843D82" w:rsidRPr="003F100C">
        <w:t xml:space="preserve">delivery mechanisms to improve </w:t>
      </w:r>
      <w:r w:rsidR="003051B0" w:rsidRPr="003F100C">
        <w:t xml:space="preserve">the quality and the accountability of </w:t>
      </w:r>
      <w:r w:rsidR="00843D82" w:rsidRPr="003F100C">
        <w:t>service provision to affected populations;</w:t>
      </w:r>
      <w:r w:rsidRPr="003F100C">
        <w:t xml:space="preserve"> </w:t>
      </w:r>
    </w:p>
    <w:p w14:paraId="7390651C" w14:textId="5404902E" w:rsidR="00792557" w:rsidRPr="003F100C" w:rsidRDefault="00FD24DD" w:rsidP="00476924">
      <w:pPr>
        <w:pStyle w:val="ListParagraph"/>
        <w:numPr>
          <w:ilvl w:val="0"/>
          <w:numId w:val="2"/>
        </w:numPr>
        <w:jc w:val="both"/>
      </w:pPr>
      <w:r w:rsidRPr="003F100C">
        <w:t xml:space="preserve">Promote transparency and two-way information sharing between </w:t>
      </w:r>
      <w:r w:rsidR="00763072" w:rsidRPr="003F100C">
        <w:t>relevant stakeholders.</w:t>
      </w:r>
    </w:p>
    <w:p w14:paraId="6C9E5EA5" w14:textId="1643B30B" w:rsidR="00F53FC6" w:rsidRPr="003F100C" w:rsidRDefault="00FD24DD" w:rsidP="00167F36">
      <w:pPr>
        <w:pStyle w:val="ListParagraph"/>
        <w:numPr>
          <w:ilvl w:val="0"/>
          <w:numId w:val="2"/>
        </w:numPr>
        <w:jc w:val="both"/>
      </w:pPr>
      <w:r w:rsidRPr="003F100C">
        <w:t>Promote opportunities for</w:t>
      </w:r>
      <w:r w:rsidR="00F53FC6" w:rsidRPr="003F100C">
        <w:t xml:space="preserve"> </w:t>
      </w:r>
      <w:r w:rsidR="00D80F08" w:rsidRPr="003F100C">
        <w:t>collaboration</w:t>
      </w:r>
      <w:r w:rsidR="00F53FC6" w:rsidRPr="003F100C">
        <w:t xml:space="preserve"> </w:t>
      </w:r>
      <w:r w:rsidR="0069084F" w:rsidRPr="003F100C">
        <w:t>for minimum technical quality standards</w:t>
      </w:r>
      <w:r w:rsidR="00065BC6" w:rsidRPr="003F100C">
        <w:t>;</w:t>
      </w:r>
    </w:p>
    <w:p w14:paraId="394FB941" w14:textId="77777777" w:rsidR="00843D82" w:rsidRPr="003F100C" w:rsidRDefault="00065BC6" w:rsidP="00476924">
      <w:pPr>
        <w:pStyle w:val="ListParagraph"/>
        <w:numPr>
          <w:ilvl w:val="0"/>
          <w:numId w:val="2"/>
        </w:numPr>
        <w:jc w:val="both"/>
      </w:pPr>
      <w:r w:rsidRPr="003F100C">
        <w:t xml:space="preserve">Explore opportunities for new and improved approaches to CBI, researching and developing tools </w:t>
      </w:r>
      <w:r w:rsidR="00FD24DD" w:rsidRPr="003F100C">
        <w:t xml:space="preserve">(including through emerging technologies) </w:t>
      </w:r>
      <w:r w:rsidRPr="003F100C">
        <w:t>that will enhance the appropriateness</w:t>
      </w:r>
      <w:r w:rsidR="00FD24DD" w:rsidRPr="003F100C">
        <w:t xml:space="preserve"> and quality</w:t>
      </w:r>
      <w:r w:rsidRPr="003F100C">
        <w:t xml:space="preserve"> of delivery mechanisms</w:t>
      </w:r>
      <w:r w:rsidR="00843D82" w:rsidRPr="003F100C">
        <w:t>;</w:t>
      </w:r>
    </w:p>
    <w:p w14:paraId="5C7131D8" w14:textId="0FE4B96F" w:rsidR="00065BC6" w:rsidRPr="003F100C" w:rsidRDefault="00843D82" w:rsidP="00476924">
      <w:pPr>
        <w:pStyle w:val="ListParagraph"/>
        <w:numPr>
          <w:ilvl w:val="0"/>
          <w:numId w:val="2"/>
        </w:numPr>
        <w:jc w:val="both"/>
      </w:pPr>
      <w:r w:rsidRPr="003F100C">
        <w:t>Enhance the coordination with CBI coordination platforms at regional and global levels.</w:t>
      </w:r>
    </w:p>
    <w:p w14:paraId="33ECD05B" w14:textId="77777777" w:rsidR="00482C49" w:rsidRPr="003F100C" w:rsidRDefault="00482C49" w:rsidP="00065BC6">
      <w:pPr>
        <w:rPr>
          <w:b/>
          <w:sz w:val="10"/>
        </w:rPr>
      </w:pPr>
    </w:p>
    <w:p w14:paraId="12790623" w14:textId="086A97E8" w:rsidR="00065BC6" w:rsidRPr="003F100C" w:rsidRDefault="00065BC6" w:rsidP="00985C21">
      <w:pPr>
        <w:pStyle w:val="ListParagraph"/>
        <w:numPr>
          <w:ilvl w:val="0"/>
          <w:numId w:val="13"/>
        </w:numPr>
        <w:ind w:left="284" w:hanging="284"/>
        <w:rPr>
          <w:b/>
        </w:rPr>
      </w:pPr>
      <w:r w:rsidRPr="003F100C">
        <w:rPr>
          <w:b/>
        </w:rPr>
        <w:t>R</w:t>
      </w:r>
      <w:r w:rsidR="00E33994" w:rsidRPr="003F100C">
        <w:rPr>
          <w:b/>
        </w:rPr>
        <w:t>oles and Responsibilities</w:t>
      </w:r>
    </w:p>
    <w:p w14:paraId="124F191C" w14:textId="77777777" w:rsidR="00DE3553" w:rsidRPr="003F100C" w:rsidRDefault="006A3A1C">
      <w:pPr>
        <w:jc w:val="both"/>
      </w:pPr>
      <w:r w:rsidRPr="003F100C">
        <w:t xml:space="preserve">The </w:t>
      </w:r>
      <w:r w:rsidR="00F87985" w:rsidRPr="003F100C">
        <w:rPr>
          <w:b/>
        </w:rPr>
        <w:t>c</w:t>
      </w:r>
      <w:r w:rsidRPr="003F100C">
        <w:rPr>
          <w:b/>
        </w:rPr>
        <w:t>hair</w:t>
      </w:r>
      <w:r w:rsidRPr="003F100C">
        <w:t xml:space="preserve"> of the </w:t>
      </w:r>
      <w:r w:rsidR="00146600" w:rsidRPr="003F100C">
        <w:t>CBI TWG</w:t>
      </w:r>
      <w:r w:rsidRPr="003F100C">
        <w:t xml:space="preserve"> </w:t>
      </w:r>
      <w:r w:rsidR="00F87985" w:rsidRPr="003F100C">
        <w:t>is</w:t>
      </w:r>
      <w:r w:rsidRPr="003F100C">
        <w:t xml:space="preserve"> UNHCR </w:t>
      </w:r>
      <w:r w:rsidR="006D19B8" w:rsidRPr="003F100C">
        <w:t xml:space="preserve">with a </w:t>
      </w:r>
      <w:r w:rsidR="00E33994" w:rsidRPr="003F100C">
        <w:t>Rotating</w:t>
      </w:r>
      <w:r w:rsidRPr="003F100C">
        <w:t xml:space="preserve"> Technical NGO Co-Chair. </w:t>
      </w:r>
      <w:r w:rsidR="00207988" w:rsidRPr="003F100C">
        <w:t xml:space="preserve"> The NGO Co-Chair will rotate on a yearly basis</w:t>
      </w:r>
      <w:r w:rsidR="00F87985" w:rsidRPr="003F100C">
        <w:t>, if feasible</w:t>
      </w:r>
      <w:r w:rsidR="00207988" w:rsidRPr="003F100C">
        <w:t xml:space="preserve">. NGOs will be invited to send in their nominations and </w:t>
      </w:r>
      <w:r w:rsidR="002B1F1F" w:rsidRPr="003F100C">
        <w:t>present their candid</w:t>
      </w:r>
      <w:r w:rsidR="003051B0" w:rsidRPr="003F100C">
        <w:t>ature</w:t>
      </w:r>
      <w:r w:rsidR="002B1F1F" w:rsidRPr="003F100C">
        <w:t xml:space="preserve">. </w:t>
      </w:r>
    </w:p>
    <w:p w14:paraId="7048164E" w14:textId="0A21204B" w:rsidR="000C5186" w:rsidRPr="003F100C" w:rsidRDefault="006A3A1C">
      <w:pPr>
        <w:jc w:val="both"/>
        <w:rPr>
          <w:b/>
        </w:rPr>
      </w:pPr>
      <w:r w:rsidRPr="003F100C">
        <w:t xml:space="preserve">The roles and responsibilities of the </w:t>
      </w:r>
      <w:r w:rsidRPr="003F100C">
        <w:rPr>
          <w:b/>
          <w:bCs/>
        </w:rPr>
        <w:t>Chair</w:t>
      </w:r>
      <w:r w:rsidRPr="003F100C">
        <w:t xml:space="preserve"> are as follows:</w:t>
      </w:r>
    </w:p>
    <w:p w14:paraId="1FA4B000" w14:textId="465B5B74" w:rsidR="00DE3553" w:rsidRPr="003F100C" w:rsidRDefault="00DE3553" w:rsidP="00DE3553">
      <w:pPr>
        <w:numPr>
          <w:ilvl w:val="0"/>
          <w:numId w:val="11"/>
        </w:numPr>
        <w:spacing w:line="240" w:lineRule="auto"/>
      </w:pPr>
      <w:r w:rsidRPr="003F100C">
        <w:t>Ensure CBI TWG meetings, workshops and other events are organized to respond coordination and information needs around CBIs in Turkey.</w:t>
      </w:r>
    </w:p>
    <w:p w14:paraId="3D4F204A" w14:textId="77777777" w:rsidR="00D63E4D" w:rsidRPr="003F100C" w:rsidRDefault="00D63E4D" w:rsidP="00DE3553">
      <w:pPr>
        <w:numPr>
          <w:ilvl w:val="0"/>
          <w:numId w:val="11"/>
        </w:numPr>
        <w:spacing w:line="240" w:lineRule="auto"/>
      </w:pPr>
      <w:r w:rsidRPr="003F100C">
        <w:t xml:space="preserve">Ensure that NGO Technical Advisor, partners of the platform and other relevant actors are continuously encouraged and supported to share program updates, best practices, post-distribution findings, assessments and analysis related with CBIs in Turkey. </w:t>
      </w:r>
    </w:p>
    <w:p w14:paraId="737F8E02" w14:textId="77777777" w:rsidR="00D63E4D" w:rsidRPr="003F100C" w:rsidRDefault="00D63E4D" w:rsidP="00DE3553">
      <w:pPr>
        <w:numPr>
          <w:ilvl w:val="0"/>
          <w:numId w:val="11"/>
        </w:numPr>
        <w:spacing w:line="240" w:lineRule="auto"/>
      </w:pPr>
      <w:r w:rsidRPr="003F100C">
        <w:t xml:space="preserve">Ensure appropriate linkages for share of technical expertise between partners. </w:t>
      </w:r>
    </w:p>
    <w:p w14:paraId="13C2407F" w14:textId="1B980F41" w:rsidR="00DE3553" w:rsidRPr="003F100C" w:rsidRDefault="00DE3553" w:rsidP="00DE3553">
      <w:pPr>
        <w:numPr>
          <w:ilvl w:val="0"/>
          <w:numId w:val="11"/>
        </w:numPr>
        <w:spacing w:line="240" w:lineRule="auto"/>
      </w:pPr>
      <w:r w:rsidRPr="003F100C">
        <w:t>Develop and follow the work plan</w:t>
      </w:r>
      <w:r w:rsidR="00D63E4D" w:rsidRPr="003F100C">
        <w:t>;</w:t>
      </w:r>
      <w:r w:rsidRPr="003F100C">
        <w:t xml:space="preserve"> ensure that focus of the platform and its deliverables are updated and relevant to the context, reflecting TWG priorities and the development of the discussions around CBI within the </w:t>
      </w:r>
      <w:r w:rsidR="00D63E4D" w:rsidRPr="003F100C">
        <w:t>platform</w:t>
      </w:r>
      <w:r w:rsidRPr="003F100C">
        <w:t xml:space="preserve"> and across relevant sectors; </w:t>
      </w:r>
    </w:p>
    <w:p w14:paraId="1E3116AA" w14:textId="30F3EA10" w:rsidR="00DE3553" w:rsidRPr="003F100C" w:rsidRDefault="00DE3553" w:rsidP="00DE3553">
      <w:pPr>
        <w:numPr>
          <w:ilvl w:val="0"/>
          <w:numId w:val="11"/>
        </w:numPr>
        <w:spacing w:line="240" w:lineRule="auto"/>
      </w:pPr>
      <w:r w:rsidRPr="003F100C">
        <w:t>Maintain links and dialogue with technical actors at national, regional and global level to support cash coordination in Turkey;</w:t>
      </w:r>
    </w:p>
    <w:p w14:paraId="007B56AD" w14:textId="0E001764" w:rsidR="00DE3553" w:rsidRPr="003F100C" w:rsidRDefault="002108F3" w:rsidP="00DE3553">
      <w:pPr>
        <w:numPr>
          <w:ilvl w:val="0"/>
          <w:numId w:val="11"/>
        </w:numPr>
        <w:spacing w:line="240" w:lineRule="auto"/>
      </w:pPr>
      <w:r w:rsidRPr="003F100C">
        <w:t>Strengthen</w:t>
      </w:r>
      <w:r w:rsidR="00DE3553" w:rsidRPr="003F100C">
        <w:t xml:space="preserve"> linkages with relevant sectoral working groups at national and sub-national levels and the STF;</w:t>
      </w:r>
    </w:p>
    <w:p w14:paraId="43A7F70B" w14:textId="0E48F9DA" w:rsidR="00DE3553" w:rsidRPr="003F100C" w:rsidRDefault="00DE3553" w:rsidP="00D63E4D">
      <w:pPr>
        <w:numPr>
          <w:ilvl w:val="0"/>
          <w:numId w:val="11"/>
        </w:numPr>
        <w:spacing w:line="240" w:lineRule="auto"/>
      </w:pPr>
      <w:r w:rsidRPr="003F100C">
        <w:t xml:space="preserve">Ensure that </w:t>
      </w:r>
      <w:r w:rsidR="00603BE6">
        <w:t>this document of</w:t>
      </w:r>
      <w:r w:rsidR="00603BE6" w:rsidRPr="003F100C">
        <w:t xml:space="preserve"> terms of reference</w:t>
      </w:r>
      <w:r w:rsidRPr="003F100C">
        <w:t xml:space="preserve"> is reviewed at least bi-</w:t>
      </w:r>
      <w:r w:rsidR="002108F3" w:rsidRPr="003F100C">
        <w:t>annually</w:t>
      </w:r>
      <w:r w:rsidRPr="003F100C">
        <w:t>;</w:t>
      </w:r>
    </w:p>
    <w:p w14:paraId="3A8808A2" w14:textId="6576608E" w:rsidR="00D63E4D" w:rsidRPr="003F100C" w:rsidRDefault="00D63E4D" w:rsidP="00D63E4D">
      <w:pPr>
        <w:numPr>
          <w:ilvl w:val="0"/>
          <w:numId w:val="11"/>
        </w:numPr>
        <w:spacing w:line="240" w:lineRule="auto"/>
      </w:pPr>
      <w:r w:rsidRPr="003F100C">
        <w:t>Ensure that mapping of CBIs in Turkey is revived annually.</w:t>
      </w:r>
    </w:p>
    <w:p w14:paraId="7F388616" w14:textId="69975184" w:rsidR="006A3A1C" w:rsidRPr="003F100C" w:rsidRDefault="006A3A1C" w:rsidP="002E2249">
      <w:pPr>
        <w:spacing w:before="240"/>
      </w:pPr>
      <w:r w:rsidRPr="003F100C">
        <w:lastRenderedPageBreak/>
        <w:t xml:space="preserve">The roles and responsibilities of the </w:t>
      </w:r>
      <w:r w:rsidR="00DE3553" w:rsidRPr="003F100C">
        <w:rPr>
          <w:b/>
          <w:bCs/>
        </w:rPr>
        <w:t xml:space="preserve">I/NGO </w:t>
      </w:r>
      <w:r w:rsidRPr="003F100C">
        <w:rPr>
          <w:b/>
          <w:bCs/>
        </w:rPr>
        <w:t xml:space="preserve">Technical </w:t>
      </w:r>
      <w:r w:rsidR="00DE3553" w:rsidRPr="003F100C">
        <w:rPr>
          <w:b/>
          <w:bCs/>
        </w:rPr>
        <w:t>Advisor</w:t>
      </w:r>
      <w:r w:rsidR="00902921">
        <w:rPr>
          <w:b/>
          <w:bCs/>
        </w:rPr>
        <w:t>/s</w:t>
      </w:r>
      <w:bookmarkStart w:id="1" w:name="_GoBack"/>
      <w:bookmarkEnd w:id="1"/>
      <w:r w:rsidR="00DE3553" w:rsidRPr="003F100C">
        <w:rPr>
          <w:b/>
        </w:rPr>
        <w:t xml:space="preserve"> </w:t>
      </w:r>
      <w:r w:rsidRPr="003F100C">
        <w:t>are as follows:</w:t>
      </w:r>
    </w:p>
    <w:p w14:paraId="2A26EBB5" w14:textId="4F40028A" w:rsidR="00DE3553" w:rsidRPr="003F100C" w:rsidRDefault="00DE3553" w:rsidP="00DE3553">
      <w:pPr>
        <w:numPr>
          <w:ilvl w:val="0"/>
          <w:numId w:val="11"/>
        </w:numPr>
        <w:spacing w:line="240" w:lineRule="auto"/>
      </w:pPr>
      <w:r w:rsidRPr="003F100C">
        <w:t>Provide technical advice to the Cha</w:t>
      </w:r>
      <w:r w:rsidR="00D63E4D" w:rsidRPr="003F100C">
        <w:t>i</w:t>
      </w:r>
      <w:r w:rsidRPr="003F100C">
        <w:t>r on the content of CBI TWG meetings and workshops and other CBI related events.</w:t>
      </w:r>
    </w:p>
    <w:p w14:paraId="322D4E7B" w14:textId="0977E615" w:rsidR="00DE3553" w:rsidRPr="003F100C" w:rsidRDefault="00DE3553" w:rsidP="00DE3553">
      <w:pPr>
        <w:numPr>
          <w:ilvl w:val="0"/>
          <w:numId w:val="11"/>
        </w:numPr>
        <w:spacing w:line="240" w:lineRule="auto"/>
      </w:pPr>
      <w:r w:rsidRPr="003F100C">
        <w:t xml:space="preserve">Share best practices, technical </w:t>
      </w:r>
      <w:r w:rsidR="00603BE6" w:rsidRPr="003F100C">
        <w:t>advice</w:t>
      </w:r>
      <w:r w:rsidRPr="003F100C">
        <w:t xml:space="preserve"> and </w:t>
      </w:r>
      <w:r w:rsidR="00603BE6" w:rsidRPr="003F100C">
        <w:t>evidence-based</w:t>
      </w:r>
      <w:r w:rsidRPr="003F100C">
        <w:t xml:space="preserve"> guidance to programming of CBI TWG partners in collaboration with the Chair.</w:t>
      </w:r>
    </w:p>
    <w:p w14:paraId="0F28825A" w14:textId="0F0C2B95" w:rsidR="00DE3553" w:rsidRPr="003F100C" w:rsidRDefault="00DE3553" w:rsidP="00DE3553">
      <w:pPr>
        <w:numPr>
          <w:ilvl w:val="0"/>
          <w:numId w:val="11"/>
        </w:numPr>
        <w:spacing w:line="240" w:lineRule="auto"/>
      </w:pPr>
      <w:r w:rsidRPr="003F100C">
        <w:t xml:space="preserve">Provide </w:t>
      </w:r>
      <w:r w:rsidR="00603BE6" w:rsidRPr="003F100C">
        <w:t>continuous</w:t>
      </w:r>
      <w:r w:rsidRPr="003F100C">
        <w:t xml:space="preserve"> technical input to development of the work plan and deliverables (policies, strategies, advocacy briefs, analysis). </w:t>
      </w:r>
    </w:p>
    <w:p w14:paraId="201D7CFB" w14:textId="77B23EC3" w:rsidR="00DE3553" w:rsidRPr="003F100C" w:rsidRDefault="00DE3553" w:rsidP="00DE3553">
      <w:pPr>
        <w:numPr>
          <w:ilvl w:val="0"/>
          <w:numId w:val="11"/>
        </w:numPr>
        <w:spacing w:line="240" w:lineRule="auto"/>
      </w:pPr>
      <w:r w:rsidRPr="003F100C">
        <w:t xml:space="preserve">Support establishing and </w:t>
      </w:r>
      <w:r w:rsidR="00603BE6" w:rsidRPr="003F100C">
        <w:t>strengthening</w:t>
      </w:r>
      <w:r w:rsidRPr="003F100C">
        <w:t xml:space="preserve"> linkages with relevant sectoral working groups at national and sub-national levels;</w:t>
      </w:r>
    </w:p>
    <w:p w14:paraId="26506B33" w14:textId="77777777" w:rsidR="00DE3553" w:rsidRPr="003F100C" w:rsidRDefault="00DE3553" w:rsidP="00DE3553">
      <w:pPr>
        <w:pStyle w:val="ListParagraph"/>
        <w:numPr>
          <w:ilvl w:val="0"/>
          <w:numId w:val="11"/>
        </w:numPr>
        <w:jc w:val="both"/>
      </w:pPr>
      <w:r w:rsidRPr="003F100C">
        <w:t>Establish regular technical exchange with I/NGOs to support inclusive and transparent decision-making process through the technical working group;</w:t>
      </w:r>
    </w:p>
    <w:p w14:paraId="762D37F9" w14:textId="2B598E24" w:rsidR="00DE3553" w:rsidRPr="003F100C" w:rsidRDefault="00DE3553" w:rsidP="00DE3553">
      <w:pPr>
        <w:numPr>
          <w:ilvl w:val="0"/>
          <w:numId w:val="11"/>
        </w:numPr>
        <w:spacing w:line="240" w:lineRule="auto"/>
      </w:pPr>
      <w:r w:rsidRPr="003F100C">
        <w:t>Support create and strengthen the links and dialogue with technical actors at national, regional and global level to support cash coordination in Turkey;</w:t>
      </w:r>
    </w:p>
    <w:p w14:paraId="25AECE8D" w14:textId="61E522C5" w:rsidR="002E2249" w:rsidRPr="003F100C" w:rsidRDefault="002E2249" w:rsidP="002E2249">
      <w:pPr>
        <w:spacing w:before="240" w:line="240" w:lineRule="auto"/>
      </w:pPr>
      <w:r w:rsidRPr="003F100C">
        <w:t xml:space="preserve">The roles and responsibilities of the </w:t>
      </w:r>
      <w:r w:rsidRPr="003F100C">
        <w:rPr>
          <w:b/>
          <w:bCs/>
        </w:rPr>
        <w:t>Information Management Office</w:t>
      </w:r>
      <w:r w:rsidR="003F100C" w:rsidRPr="003F100C">
        <w:rPr>
          <w:b/>
          <w:bCs/>
        </w:rPr>
        <w:t>r</w:t>
      </w:r>
      <w:r w:rsidRPr="003F100C">
        <w:rPr>
          <w:b/>
        </w:rPr>
        <w:t xml:space="preserve"> </w:t>
      </w:r>
      <w:r w:rsidRPr="003F100C">
        <w:t>are as follows:</w:t>
      </w:r>
    </w:p>
    <w:p w14:paraId="5AEBFFD1" w14:textId="77777777" w:rsidR="002E2249" w:rsidRPr="003F100C" w:rsidRDefault="002E2249" w:rsidP="002E2249">
      <w:pPr>
        <w:numPr>
          <w:ilvl w:val="0"/>
          <w:numId w:val="11"/>
        </w:numPr>
        <w:spacing w:line="240" w:lineRule="auto"/>
      </w:pPr>
      <w:r w:rsidRPr="003F100C">
        <w:t>Ensure smooth data collection and analysis in CBI Mapping process.</w:t>
      </w:r>
    </w:p>
    <w:p w14:paraId="2AC1E0AD" w14:textId="77777777" w:rsidR="002E2249" w:rsidRPr="003F100C" w:rsidRDefault="002E2249" w:rsidP="002E2249">
      <w:pPr>
        <w:numPr>
          <w:ilvl w:val="0"/>
          <w:numId w:val="11"/>
        </w:numPr>
        <w:spacing w:line="240" w:lineRule="auto"/>
      </w:pPr>
      <w:r w:rsidRPr="003F100C">
        <w:t>Produce CBI TWG dashboards and relevant analysis, and share with the partners of the platform;</w:t>
      </w:r>
    </w:p>
    <w:p w14:paraId="6AD5159A" w14:textId="77777777" w:rsidR="002E2249" w:rsidRPr="003F100C" w:rsidRDefault="002E2249" w:rsidP="002E2249">
      <w:pPr>
        <w:numPr>
          <w:ilvl w:val="0"/>
          <w:numId w:val="11"/>
        </w:numPr>
        <w:spacing w:line="240" w:lineRule="auto"/>
      </w:pPr>
      <w:r w:rsidRPr="003F100C">
        <w:t>Identify relevant information requirements of the platform and partners, and encourage information sharing among all stakeholders;</w:t>
      </w:r>
    </w:p>
    <w:p w14:paraId="0BAA9D19" w14:textId="77777777" w:rsidR="002E2249" w:rsidRPr="003F100C" w:rsidRDefault="002E2249" w:rsidP="002E2249">
      <w:pPr>
        <w:numPr>
          <w:ilvl w:val="0"/>
          <w:numId w:val="11"/>
        </w:numPr>
        <w:spacing w:line="240" w:lineRule="auto"/>
      </w:pPr>
      <w:r w:rsidRPr="003F100C">
        <w:t xml:space="preserve">Support partners to update their cash-based interventions on Services Advisor continuously. </w:t>
      </w:r>
    </w:p>
    <w:p w14:paraId="71AE0F9A" w14:textId="77777777" w:rsidR="002E2249" w:rsidRPr="003F100C" w:rsidRDefault="002E2249" w:rsidP="008F5E08">
      <w:pPr>
        <w:jc w:val="both"/>
      </w:pPr>
    </w:p>
    <w:p w14:paraId="40E67113" w14:textId="55FD1DFB" w:rsidR="000C5186" w:rsidRPr="003F100C" w:rsidRDefault="000C5186" w:rsidP="00985C21">
      <w:pPr>
        <w:pStyle w:val="ListParagraph"/>
        <w:numPr>
          <w:ilvl w:val="0"/>
          <w:numId w:val="13"/>
        </w:numPr>
        <w:ind w:left="426" w:hanging="426"/>
        <w:rPr>
          <w:b/>
        </w:rPr>
      </w:pPr>
      <w:r w:rsidRPr="003F100C">
        <w:rPr>
          <w:b/>
        </w:rPr>
        <w:t>Modality and Frequency of Meetings</w:t>
      </w:r>
    </w:p>
    <w:p w14:paraId="5A2A04B3" w14:textId="12D8D7A4" w:rsidR="002E2249" w:rsidRPr="003F100C" w:rsidRDefault="00843D82" w:rsidP="003F100C">
      <w:pPr>
        <w:jc w:val="both"/>
      </w:pPr>
      <w:r w:rsidRPr="003F100C">
        <w:t xml:space="preserve">The CBI TWG will meet </w:t>
      </w:r>
      <w:r w:rsidR="00702023" w:rsidRPr="003F100C">
        <w:t>every two months on the fourth</w:t>
      </w:r>
      <w:r w:rsidRPr="003F100C">
        <w:t xml:space="preserve"> Tuesday of </w:t>
      </w:r>
      <w:r w:rsidR="006D19B8" w:rsidRPr="003F100C">
        <w:t>the month</w:t>
      </w:r>
      <w:r w:rsidR="002E2249" w:rsidRPr="003F100C">
        <w:t xml:space="preserve">, unless decided otherwise with reference to inter-agency </w:t>
      </w:r>
      <w:r w:rsidR="00603BE6" w:rsidRPr="003F100C">
        <w:t>calendar</w:t>
      </w:r>
      <w:r w:rsidR="002E2249" w:rsidRPr="003F100C">
        <w:t xml:space="preserve"> and partners’ needs. </w:t>
      </w:r>
      <w:r w:rsidRPr="003F100C">
        <w:t>Depending on needs and opportunities ad-hoc meetings can be scheduled</w:t>
      </w:r>
      <w:r w:rsidR="002E2249" w:rsidRPr="003F100C">
        <w:t xml:space="preserve"> out of the bi-monthly schedule. </w:t>
      </w:r>
    </w:p>
    <w:p w14:paraId="638CB52D" w14:textId="542102EE" w:rsidR="004441E0" w:rsidRPr="003F100C" w:rsidRDefault="002E2249" w:rsidP="003F100C">
      <w:pPr>
        <w:jc w:val="both"/>
      </w:pPr>
      <w:r w:rsidRPr="003F100C">
        <w:t>Meetings will be convened with a hybrid approach both in-person, and online/virtual. In-person meetings will be held in Ankara, Gaziantep and other locations (e.g. Istanbul and Izmir) on rotational basis to gather larger participation from local actors. P</w:t>
      </w:r>
      <w:r w:rsidR="001E282B" w:rsidRPr="003F100C">
        <w:t xml:space="preserve">artners from other cities will </w:t>
      </w:r>
      <w:r w:rsidRPr="003F100C">
        <w:t xml:space="preserve">always </w:t>
      </w:r>
      <w:r w:rsidR="001E282B" w:rsidRPr="003F100C">
        <w:t xml:space="preserve">be provided </w:t>
      </w:r>
      <w:r w:rsidRPr="003F100C">
        <w:t xml:space="preserve">with </w:t>
      </w:r>
      <w:r w:rsidR="001E282B" w:rsidRPr="003F100C">
        <w:t>options for participating virtually.</w:t>
      </w:r>
      <w:r w:rsidRPr="003F100C">
        <w:t xml:space="preserve"> Depending on the needs, platform can meet entirely on virtual platform.</w:t>
      </w:r>
    </w:p>
    <w:p w14:paraId="5ABCA53C" w14:textId="025F7C22" w:rsidR="00835191" w:rsidRPr="003F100C" w:rsidRDefault="00835191" w:rsidP="003F100C">
      <w:pPr>
        <w:jc w:val="both"/>
      </w:pPr>
      <w:r w:rsidRPr="003F100C">
        <w:t xml:space="preserve">Ad hoc workshops will be organized to discuss on specific topics, </w:t>
      </w:r>
      <w:r w:rsidR="001E282B" w:rsidRPr="003F100C">
        <w:t xml:space="preserve">with participation of </w:t>
      </w:r>
      <w:r w:rsidR="002E2249" w:rsidRPr="003F100C">
        <w:t xml:space="preserve">all relevant </w:t>
      </w:r>
      <w:r w:rsidRPr="003F100C">
        <w:t xml:space="preserve">actors and </w:t>
      </w:r>
      <w:r w:rsidR="002E2249" w:rsidRPr="003F100C">
        <w:t xml:space="preserve">if available, </w:t>
      </w:r>
      <w:r w:rsidRPr="003F100C">
        <w:t>consultants.</w:t>
      </w:r>
      <w:r w:rsidR="001E282B" w:rsidRPr="003F100C">
        <w:t xml:space="preserve"> CBI TWG will assess the needs of partners and provide trainings when applicable. </w:t>
      </w:r>
    </w:p>
    <w:p w14:paraId="03DDC2E9" w14:textId="30BC26D7" w:rsidR="007429FF" w:rsidRPr="003F100C" w:rsidRDefault="00835191" w:rsidP="003F100C">
      <w:pPr>
        <w:jc w:val="both"/>
      </w:pPr>
      <w:r w:rsidRPr="003F100C">
        <w:t>The CBI TWG chai</w:t>
      </w:r>
      <w:r w:rsidR="002E2249" w:rsidRPr="003F100C">
        <w:t>r, NGO Technical Advisor</w:t>
      </w:r>
      <w:r w:rsidRPr="003F100C">
        <w:t xml:space="preserve"> and </w:t>
      </w:r>
      <w:r w:rsidR="002E2249" w:rsidRPr="003F100C">
        <w:t xml:space="preserve">IM </w:t>
      </w:r>
      <w:r w:rsidRPr="003F100C">
        <w:t>will participate to other IA WG</w:t>
      </w:r>
      <w:r w:rsidR="00DB760F" w:rsidRPr="003F100C">
        <w:t xml:space="preserve"> </w:t>
      </w:r>
      <w:r w:rsidRPr="003F100C">
        <w:t>meetings to promote issues discussed during the CBI TWG meetings that are relevant for the TWG</w:t>
      </w:r>
      <w:r w:rsidR="002E2249" w:rsidRPr="003F100C">
        <w:t xml:space="preserve">, when necessary. </w:t>
      </w:r>
      <w:bookmarkEnd w:id="0"/>
    </w:p>
    <w:sectPr w:rsidR="007429FF" w:rsidRPr="003F100C" w:rsidSect="003F100C">
      <w:headerReference w:type="default" r:id="rId8"/>
      <w:footerReference w:type="default" r:id="rId9"/>
      <w:pgSz w:w="11906" w:h="16838"/>
      <w:pgMar w:top="2127" w:right="1274" w:bottom="720"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ABFAD" w14:textId="77777777" w:rsidR="00282E9A" w:rsidRDefault="00282E9A" w:rsidP="007D24D1">
      <w:pPr>
        <w:spacing w:after="0" w:line="240" w:lineRule="auto"/>
      </w:pPr>
      <w:r>
        <w:separator/>
      </w:r>
    </w:p>
  </w:endnote>
  <w:endnote w:type="continuationSeparator" w:id="0">
    <w:p w14:paraId="76035E2A" w14:textId="77777777" w:rsidR="00282E9A" w:rsidRDefault="00282E9A" w:rsidP="007D24D1">
      <w:pPr>
        <w:spacing w:after="0" w:line="240" w:lineRule="auto"/>
      </w:pPr>
      <w:r>
        <w:continuationSeparator/>
      </w:r>
    </w:p>
  </w:endnote>
  <w:endnote w:type="continuationNotice" w:id="1">
    <w:p w14:paraId="137EC283" w14:textId="77777777" w:rsidR="00282E9A" w:rsidRDefault="00282E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B996A" w14:textId="77777777" w:rsidR="001E282B" w:rsidRDefault="001E28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597CC" w14:textId="77777777" w:rsidR="00282E9A" w:rsidRDefault="00282E9A" w:rsidP="007D24D1">
      <w:pPr>
        <w:spacing w:after="0" w:line="240" w:lineRule="auto"/>
      </w:pPr>
      <w:r>
        <w:separator/>
      </w:r>
    </w:p>
  </w:footnote>
  <w:footnote w:type="continuationSeparator" w:id="0">
    <w:p w14:paraId="26A62629" w14:textId="77777777" w:rsidR="00282E9A" w:rsidRDefault="00282E9A" w:rsidP="007D24D1">
      <w:pPr>
        <w:spacing w:after="0" w:line="240" w:lineRule="auto"/>
      </w:pPr>
      <w:r>
        <w:continuationSeparator/>
      </w:r>
    </w:p>
  </w:footnote>
  <w:footnote w:type="continuationNotice" w:id="1">
    <w:p w14:paraId="1CDB15C7" w14:textId="77777777" w:rsidR="00282E9A" w:rsidRDefault="00282E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B1C43" w14:textId="7A9B7902" w:rsidR="00346444" w:rsidRDefault="00346444" w:rsidP="002B34FD">
    <w:pPr>
      <w:pStyle w:val="Header"/>
      <w:jc w:val="center"/>
      <w:rPr>
        <w:b/>
        <w:color w:val="7F7F7F" w:themeColor="text1" w:themeTint="80"/>
      </w:rPr>
    </w:pPr>
    <w:r w:rsidRPr="00346444">
      <w:rPr>
        <w:b/>
        <w:noProof/>
        <w:color w:val="7F7F7F" w:themeColor="text1" w:themeTint="80"/>
      </w:rPr>
      <w:drawing>
        <wp:inline distT="0" distB="0" distL="0" distR="0" wp14:anchorId="478B0373" wp14:editId="3B1032FC">
          <wp:extent cx="3100681" cy="637216"/>
          <wp:effectExtent l="0" t="0" r="0" b="0"/>
          <wp:docPr id="4" name="Picture 4">
            <a:extLst xmlns:a="http://schemas.openxmlformats.org/drawingml/2006/main">
              <a:ext uri="{FF2B5EF4-FFF2-40B4-BE49-F238E27FC236}">
                <a16:creationId xmlns:a16="http://schemas.microsoft.com/office/drawing/2014/main" id="{971D6146-9F6C-46E6-B7F6-FFCCD8D6905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971D6146-9F6C-46E6-B7F6-FFCCD8D6905B}"/>
                      </a:ext>
                    </a:extLst>
                  </pic:cNvPr>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3100681" cy="637216"/>
                  </a:xfrm>
                  <a:prstGeom prst="rect">
                    <a:avLst/>
                  </a:prstGeom>
                </pic:spPr>
              </pic:pic>
            </a:graphicData>
          </a:graphic>
        </wp:inline>
      </w:drawing>
    </w:r>
  </w:p>
  <w:p w14:paraId="3983123A" w14:textId="77777777" w:rsidR="00346444" w:rsidRDefault="00346444" w:rsidP="002B34FD">
    <w:pPr>
      <w:pStyle w:val="Header"/>
      <w:jc w:val="center"/>
      <w:rPr>
        <w:b/>
        <w:color w:val="7F7F7F" w:themeColor="text1" w:themeTint="80"/>
      </w:rPr>
    </w:pPr>
  </w:p>
  <w:p w14:paraId="3448F6F2" w14:textId="0C19B23B" w:rsidR="00835191" w:rsidRPr="009D5F17" w:rsidRDefault="003E06C1" w:rsidP="002B34FD">
    <w:pPr>
      <w:pStyle w:val="Header"/>
      <w:jc w:val="center"/>
      <w:rPr>
        <w:b/>
        <w:color w:val="7F7F7F" w:themeColor="text1" w:themeTint="80"/>
      </w:rPr>
    </w:pPr>
    <w:r w:rsidRPr="009D5F17">
      <w:rPr>
        <w:b/>
        <w:color w:val="7F7F7F" w:themeColor="text1" w:themeTint="80"/>
      </w:rPr>
      <w:t xml:space="preserve">Version: </w:t>
    </w:r>
    <w:r w:rsidR="00835191" w:rsidRPr="009D5F17">
      <w:rPr>
        <w:b/>
        <w:color w:val="7F7F7F" w:themeColor="text1" w:themeTint="80"/>
      </w:rPr>
      <w:fldChar w:fldCharType="begin"/>
    </w:r>
    <w:r w:rsidR="00835191" w:rsidRPr="009D5F17">
      <w:rPr>
        <w:b/>
        <w:color w:val="7F7F7F" w:themeColor="text1" w:themeTint="80"/>
      </w:rPr>
      <w:instrText xml:space="preserve"> DATE \@ "MMMM d, yyyy" </w:instrText>
    </w:r>
    <w:r w:rsidR="00835191" w:rsidRPr="009D5F17">
      <w:rPr>
        <w:b/>
        <w:color w:val="7F7F7F" w:themeColor="text1" w:themeTint="80"/>
      </w:rPr>
      <w:fldChar w:fldCharType="separate"/>
    </w:r>
    <w:r w:rsidR="00902921">
      <w:rPr>
        <w:b/>
        <w:noProof/>
        <w:color w:val="7F7F7F" w:themeColor="text1" w:themeTint="80"/>
      </w:rPr>
      <w:t>November 23, 2020</w:t>
    </w:r>
    <w:r w:rsidR="00835191" w:rsidRPr="009D5F17">
      <w:rPr>
        <w:b/>
        <w:color w:val="7F7F7F" w:themeColor="text1" w:themeTint="8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5C92"/>
    <w:multiLevelType w:val="hybridMultilevel"/>
    <w:tmpl w:val="4A0AC5E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27294A"/>
    <w:multiLevelType w:val="hybridMultilevel"/>
    <w:tmpl w:val="750CEAD6"/>
    <w:lvl w:ilvl="0" w:tplc="08090001">
      <w:start w:val="1"/>
      <w:numFmt w:val="bullet"/>
      <w:lvlText w:val=""/>
      <w:lvlJc w:val="left"/>
      <w:pPr>
        <w:tabs>
          <w:tab w:val="num" w:pos="720"/>
        </w:tabs>
        <w:ind w:left="720" w:hanging="360"/>
      </w:pPr>
      <w:rPr>
        <w:rFonts w:ascii="Symbol" w:hAnsi="Symbol" w:hint="default"/>
      </w:rPr>
    </w:lvl>
    <w:lvl w:ilvl="1" w:tplc="8F9CF8E6" w:tentative="1">
      <w:start w:val="1"/>
      <w:numFmt w:val="bullet"/>
      <w:lvlText w:val=""/>
      <w:lvlJc w:val="left"/>
      <w:pPr>
        <w:tabs>
          <w:tab w:val="num" w:pos="1440"/>
        </w:tabs>
        <w:ind w:left="1440" w:hanging="360"/>
      </w:pPr>
      <w:rPr>
        <w:rFonts w:ascii="Wingdings 3" w:hAnsi="Wingdings 3" w:hint="default"/>
      </w:rPr>
    </w:lvl>
    <w:lvl w:ilvl="2" w:tplc="54A48E0A" w:tentative="1">
      <w:start w:val="1"/>
      <w:numFmt w:val="bullet"/>
      <w:lvlText w:val=""/>
      <w:lvlJc w:val="left"/>
      <w:pPr>
        <w:tabs>
          <w:tab w:val="num" w:pos="2160"/>
        </w:tabs>
        <w:ind w:left="2160" w:hanging="360"/>
      </w:pPr>
      <w:rPr>
        <w:rFonts w:ascii="Wingdings 3" w:hAnsi="Wingdings 3" w:hint="default"/>
      </w:rPr>
    </w:lvl>
    <w:lvl w:ilvl="3" w:tplc="7BA041E2" w:tentative="1">
      <w:start w:val="1"/>
      <w:numFmt w:val="bullet"/>
      <w:lvlText w:val=""/>
      <w:lvlJc w:val="left"/>
      <w:pPr>
        <w:tabs>
          <w:tab w:val="num" w:pos="2880"/>
        </w:tabs>
        <w:ind w:left="2880" w:hanging="360"/>
      </w:pPr>
      <w:rPr>
        <w:rFonts w:ascii="Wingdings 3" w:hAnsi="Wingdings 3" w:hint="default"/>
      </w:rPr>
    </w:lvl>
    <w:lvl w:ilvl="4" w:tplc="0ABE9C48" w:tentative="1">
      <w:start w:val="1"/>
      <w:numFmt w:val="bullet"/>
      <w:lvlText w:val=""/>
      <w:lvlJc w:val="left"/>
      <w:pPr>
        <w:tabs>
          <w:tab w:val="num" w:pos="3600"/>
        </w:tabs>
        <w:ind w:left="3600" w:hanging="360"/>
      </w:pPr>
      <w:rPr>
        <w:rFonts w:ascii="Wingdings 3" w:hAnsi="Wingdings 3" w:hint="default"/>
      </w:rPr>
    </w:lvl>
    <w:lvl w:ilvl="5" w:tplc="059EDCFA" w:tentative="1">
      <w:start w:val="1"/>
      <w:numFmt w:val="bullet"/>
      <w:lvlText w:val=""/>
      <w:lvlJc w:val="left"/>
      <w:pPr>
        <w:tabs>
          <w:tab w:val="num" w:pos="4320"/>
        </w:tabs>
        <w:ind w:left="4320" w:hanging="360"/>
      </w:pPr>
      <w:rPr>
        <w:rFonts w:ascii="Wingdings 3" w:hAnsi="Wingdings 3" w:hint="default"/>
      </w:rPr>
    </w:lvl>
    <w:lvl w:ilvl="6" w:tplc="03C62554" w:tentative="1">
      <w:start w:val="1"/>
      <w:numFmt w:val="bullet"/>
      <w:lvlText w:val=""/>
      <w:lvlJc w:val="left"/>
      <w:pPr>
        <w:tabs>
          <w:tab w:val="num" w:pos="5040"/>
        </w:tabs>
        <w:ind w:left="5040" w:hanging="360"/>
      </w:pPr>
      <w:rPr>
        <w:rFonts w:ascii="Wingdings 3" w:hAnsi="Wingdings 3" w:hint="default"/>
      </w:rPr>
    </w:lvl>
    <w:lvl w:ilvl="7" w:tplc="6EFC44B6" w:tentative="1">
      <w:start w:val="1"/>
      <w:numFmt w:val="bullet"/>
      <w:lvlText w:val=""/>
      <w:lvlJc w:val="left"/>
      <w:pPr>
        <w:tabs>
          <w:tab w:val="num" w:pos="5760"/>
        </w:tabs>
        <w:ind w:left="5760" w:hanging="360"/>
      </w:pPr>
      <w:rPr>
        <w:rFonts w:ascii="Wingdings 3" w:hAnsi="Wingdings 3" w:hint="default"/>
      </w:rPr>
    </w:lvl>
    <w:lvl w:ilvl="8" w:tplc="71681CBA"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0AAA3A6A"/>
    <w:multiLevelType w:val="hybridMultilevel"/>
    <w:tmpl w:val="5546B2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F564D7"/>
    <w:multiLevelType w:val="hybridMultilevel"/>
    <w:tmpl w:val="BCE65A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E547D2"/>
    <w:multiLevelType w:val="multilevel"/>
    <w:tmpl w:val="27D2255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2FF45DFC"/>
    <w:multiLevelType w:val="hybridMultilevel"/>
    <w:tmpl w:val="D0BAE8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3D2AAA"/>
    <w:multiLevelType w:val="hybridMultilevel"/>
    <w:tmpl w:val="CC660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0F76C5"/>
    <w:multiLevelType w:val="hybridMultilevel"/>
    <w:tmpl w:val="834EA79A"/>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467055"/>
    <w:multiLevelType w:val="hybridMultilevel"/>
    <w:tmpl w:val="9FACF38C"/>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5741004"/>
    <w:multiLevelType w:val="hybridMultilevel"/>
    <w:tmpl w:val="3294A948"/>
    <w:lvl w:ilvl="0" w:tplc="CCD22B7A">
      <w:start w:val="1"/>
      <w:numFmt w:val="bullet"/>
      <w:lvlText w:val="•"/>
      <w:lvlJc w:val="left"/>
      <w:pPr>
        <w:tabs>
          <w:tab w:val="num" w:pos="720"/>
        </w:tabs>
        <w:ind w:left="720" w:hanging="360"/>
      </w:pPr>
      <w:rPr>
        <w:rFonts w:ascii="Arial" w:hAnsi="Arial" w:hint="default"/>
      </w:rPr>
    </w:lvl>
    <w:lvl w:ilvl="1" w:tplc="57B8928E" w:tentative="1">
      <w:start w:val="1"/>
      <w:numFmt w:val="bullet"/>
      <w:lvlText w:val="•"/>
      <w:lvlJc w:val="left"/>
      <w:pPr>
        <w:tabs>
          <w:tab w:val="num" w:pos="1440"/>
        </w:tabs>
        <w:ind w:left="1440" w:hanging="360"/>
      </w:pPr>
      <w:rPr>
        <w:rFonts w:ascii="Arial" w:hAnsi="Arial" w:hint="default"/>
      </w:rPr>
    </w:lvl>
    <w:lvl w:ilvl="2" w:tplc="D92C1586" w:tentative="1">
      <w:start w:val="1"/>
      <w:numFmt w:val="bullet"/>
      <w:lvlText w:val="•"/>
      <w:lvlJc w:val="left"/>
      <w:pPr>
        <w:tabs>
          <w:tab w:val="num" w:pos="2160"/>
        </w:tabs>
        <w:ind w:left="2160" w:hanging="360"/>
      </w:pPr>
      <w:rPr>
        <w:rFonts w:ascii="Arial" w:hAnsi="Arial" w:hint="default"/>
      </w:rPr>
    </w:lvl>
    <w:lvl w:ilvl="3" w:tplc="149E7934" w:tentative="1">
      <w:start w:val="1"/>
      <w:numFmt w:val="bullet"/>
      <w:lvlText w:val="•"/>
      <w:lvlJc w:val="left"/>
      <w:pPr>
        <w:tabs>
          <w:tab w:val="num" w:pos="2880"/>
        </w:tabs>
        <w:ind w:left="2880" w:hanging="360"/>
      </w:pPr>
      <w:rPr>
        <w:rFonts w:ascii="Arial" w:hAnsi="Arial" w:hint="default"/>
      </w:rPr>
    </w:lvl>
    <w:lvl w:ilvl="4" w:tplc="55AE6D88" w:tentative="1">
      <w:start w:val="1"/>
      <w:numFmt w:val="bullet"/>
      <w:lvlText w:val="•"/>
      <w:lvlJc w:val="left"/>
      <w:pPr>
        <w:tabs>
          <w:tab w:val="num" w:pos="3600"/>
        </w:tabs>
        <w:ind w:left="3600" w:hanging="360"/>
      </w:pPr>
      <w:rPr>
        <w:rFonts w:ascii="Arial" w:hAnsi="Arial" w:hint="default"/>
      </w:rPr>
    </w:lvl>
    <w:lvl w:ilvl="5" w:tplc="85AA42B8" w:tentative="1">
      <w:start w:val="1"/>
      <w:numFmt w:val="bullet"/>
      <w:lvlText w:val="•"/>
      <w:lvlJc w:val="left"/>
      <w:pPr>
        <w:tabs>
          <w:tab w:val="num" w:pos="4320"/>
        </w:tabs>
        <w:ind w:left="4320" w:hanging="360"/>
      </w:pPr>
      <w:rPr>
        <w:rFonts w:ascii="Arial" w:hAnsi="Arial" w:hint="default"/>
      </w:rPr>
    </w:lvl>
    <w:lvl w:ilvl="6" w:tplc="EBC8D4FE" w:tentative="1">
      <w:start w:val="1"/>
      <w:numFmt w:val="bullet"/>
      <w:lvlText w:val="•"/>
      <w:lvlJc w:val="left"/>
      <w:pPr>
        <w:tabs>
          <w:tab w:val="num" w:pos="5040"/>
        </w:tabs>
        <w:ind w:left="5040" w:hanging="360"/>
      </w:pPr>
      <w:rPr>
        <w:rFonts w:ascii="Arial" w:hAnsi="Arial" w:hint="default"/>
      </w:rPr>
    </w:lvl>
    <w:lvl w:ilvl="7" w:tplc="CF4E6F92" w:tentative="1">
      <w:start w:val="1"/>
      <w:numFmt w:val="bullet"/>
      <w:lvlText w:val="•"/>
      <w:lvlJc w:val="left"/>
      <w:pPr>
        <w:tabs>
          <w:tab w:val="num" w:pos="5760"/>
        </w:tabs>
        <w:ind w:left="5760" w:hanging="360"/>
      </w:pPr>
      <w:rPr>
        <w:rFonts w:ascii="Arial" w:hAnsi="Arial" w:hint="default"/>
      </w:rPr>
    </w:lvl>
    <w:lvl w:ilvl="8" w:tplc="AC7CC57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FE7699E"/>
    <w:multiLevelType w:val="hybridMultilevel"/>
    <w:tmpl w:val="3B709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146074F"/>
    <w:multiLevelType w:val="hybridMultilevel"/>
    <w:tmpl w:val="FE8860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5DA2C39"/>
    <w:multiLevelType w:val="hybridMultilevel"/>
    <w:tmpl w:val="A42241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EA90DEF"/>
    <w:multiLevelType w:val="hybridMultilevel"/>
    <w:tmpl w:val="F41A1B6C"/>
    <w:lvl w:ilvl="0" w:tplc="486001F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A565E7"/>
    <w:multiLevelType w:val="hybridMultilevel"/>
    <w:tmpl w:val="1330893E"/>
    <w:lvl w:ilvl="0" w:tplc="7646DF5C">
      <w:start w:val="1"/>
      <w:numFmt w:val="bullet"/>
      <w:lvlText w:val=""/>
      <w:lvlJc w:val="left"/>
      <w:pPr>
        <w:tabs>
          <w:tab w:val="num" w:pos="720"/>
        </w:tabs>
        <w:ind w:left="720" w:hanging="360"/>
      </w:pPr>
      <w:rPr>
        <w:rFonts w:ascii="Wingdings 3" w:hAnsi="Wingdings 3" w:hint="default"/>
      </w:rPr>
    </w:lvl>
    <w:lvl w:ilvl="1" w:tplc="8F9CF8E6" w:tentative="1">
      <w:start w:val="1"/>
      <w:numFmt w:val="bullet"/>
      <w:lvlText w:val=""/>
      <w:lvlJc w:val="left"/>
      <w:pPr>
        <w:tabs>
          <w:tab w:val="num" w:pos="1440"/>
        </w:tabs>
        <w:ind w:left="1440" w:hanging="360"/>
      </w:pPr>
      <w:rPr>
        <w:rFonts w:ascii="Wingdings 3" w:hAnsi="Wingdings 3" w:hint="default"/>
      </w:rPr>
    </w:lvl>
    <w:lvl w:ilvl="2" w:tplc="54A48E0A" w:tentative="1">
      <w:start w:val="1"/>
      <w:numFmt w:val="bullet"/>
      <w:lvlText w:val=""/>
      <w:lvlJc w:val="left"/>
      <w:pPr>
        <w:tabs>
          <w:tab w:val="num" w:pos="2160"/>
        </w:tabs>
        <w:ind w:left="2160" w:hanging="360"/>
      </w:pPr>
      <w:rPr>
        <w:rFonts w:ascii="Wingdings 3" w:hAnsi="Wingdings 3" w:hint="default"/>
      </w:rPr>
    </w:lvl>
    <w:lvl w:ilvl="3" w:tplc="7BA041E2" w:tentative="1">
      <w:start w:val="1"/>
      <w:numFmt w:val="bullet"/>
      <w:lvlText w:val=""/>
      <w:lvlJc w:val="left"/>
      <w:pPr>
        <w:tabs>
          <w:tab w:val="num" w:pos="2880"/>
        </w:tabs>
        <w:ind w:left="2880" w:hanging="360"/>
      </w:pPr>
      <w:rPr>
        <w:rFonts w:ascii="Wingdings 3" w:hAnsi="Wingdings 3" w:hint="default"/>
      </w:rPr>
    </w:lvl>
    <w:lvl w:ilvl="4" w:tplc="0ABE9C48" w:tentative="1">
      <w:start w:val="1"/>
      <w:numFmt w:val="bullet"/>
      <w:lvlText w:val=""/>
      <w:lvlJc w:val="left"/>
      <w:pPr>
        <w:tabs>
          <w:tab w:val="num" w:pos="3600"/>
        </w:tabs>
        <w:ind w:left="3600" w:hanging="360"/>
      </w:pPr>
      <w:rPr>
        <w:rFonts w:ascii="Wingdings 3" w:hAnsi="Wingdings 3" w:hint="default"/>
      </w:rPr>
    </w:lvl>
    <w:lvl w:ilvl="5" w:tplc="059EDCFA" w:tentative="1">
      <w:start w:val="1"/>
      <w:numFmt w:val="bullet"/>
      <w:lvlText w:val=""/>
      <w:lvlJc w:val="left"/>
      <w:pPr>
        <w:tabs>
          <w:tab w:val="num" w:pos="4320"/>
        </w:tabs>
        <w:ind w:left="4320" w:hanging="360"/>
      </w:pPr>
      <w:rPr>
        <w:rFonts w:ascii="Wingdings 3" w:hAnsi="Wingdings 3" w:hint="default"/>
      </w:rPr>
    </w:lvl>
    <w:lvl w:ilvl="6" w:tplc="03C62554" w:tentative="1">
      <w:start w:val="1"/>
      <w:numFmt w:val="bullet"/>
      <w:lvlText w:val=""/>
      <w:lvlJc w:val="left"/>
      <w:pPr>
        <w:tabs>
          <w:tab w:val="num" w:pos="5040"/>
        </w:tabs>
        <w:ind w:left="5040" w:hanging="360"/>
      </w:pPr>
      <w:rPr>
        <w:rFonts w:ascii="Wingdings 3" w:hAnsi="Wingdings 3" w:hint="default"/>
      </w:rPr>
    </w:lvl>
    <w:lvl w:ilvl="7" w:tplc="6EFC44B6" w:tentative="1">
      <w:start w:val="1"/>
      <w:numFmt w:val="bullet"/>
      <w:lvlText w:val=""/>
      <w:lvlJc w:val="left"/>
      <w:pPr>
        <w:tabs>
          <w:tab w:val="num" w:pos="5760"/>
        </w:tabs>
        <w:ind w:left="5760" w:hanging="360"/>
      </w:pPr>
      <w:rPr>
        <w:rFonts w:ascii="Wingdings 3" w:hAnsi="Wingdings 3" w:hint="default"/>
      </w:rPr>
    </w:lvl>
    <w:lvl w:ilvl="8" w:tplc="71681CBA"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73C80910"/>
    <w:multiLevelType w:val="hybridMultilevel"/>
    <w:tmpl w:val="AE8E18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55C2116"/>
    <w:multiLevelType w:val="hybridMultilevel"/>
    <w:tmpl w:val="FAC26BCC"/>
    <w:lvl w:ilvl="0" w:tplc="CC0A41F0">
      <w:start w:val="1"/>
      <w:numFmt w:val="bullet"/>
      <w:lvlText w:val=""/>
      <w:lvlJc w:val="left"/>
      <w:pPr>
        <w:tabs>
          <w:tab w:val="num" w:pos="720"/>
        </w:tabs>
        <w:ind w:left="720" w:hanging="360"/>
      </w:pPr>
      <w:rPr>
        <w:rFonts w:ascii="Wingdings 3" w:hAnsi="Wingdings 3" w:hint="default"/>
      </w:rPr>
    </w:lvl>
    <w:lvl w:ilvl="1" w:tplc="0396D740" w:tentative="1">
      <w:start w:val="1"/>
      <w:numFmt w:val="bullet"/>
      <w:lvlText w:val=""/>
      <w:lvlJc w:val="left"/>
      <w:pPr>
        <w:tabs>
          <w:tab w:val="num" w:pos="1440"/>
        </w:tabs>
        <w:ind w:left="1440" w:hanging="360"/>
      </w:pPr>
      <w:rPr>
        <w:rFonts w:ascii="Wingdings 3" w:hAnsi="Wingdings 3" w:hint="default"/>
      </w:rPr>
    </w:lvl>
    <w:lvl w:ilvl="2" w:tplc="601A1A30" w:tentative="1">
      <w:start w:val="1"/>
      <w:numFmt w:val="bullet"/>
      <w:lvlText w:val=""/>
      <w:lvlJc w:val="left"/>
      <w:pPr>
        <w:tabs>
          <w:tab w:val="num" w:pos="2160"/>
        </w:tabs>
        <w:ind w:left="2160" w:hanging="360"/>
      </w:pPr>
      <w:rPr>
        <w:rFonts w:ascii="Wingdings 3" w:hAnsi="Wingdings 3" w:hint="default"/>
      </w:rPr>
    </w:lvl>
    <w:lvl w:ilvl="3" w:tplc="FC9C8062" w:tentative="1">
      <w:start w:val="1"/>
      <w:numFmt w:val="bullet"/>
      <w:lvlText w:val=""/>
      <w:lvlJc w:val="left"/>
      <w:pPr>
        <w:tabs>
          <w:tab w:val="num" w:pos="2880"/>
        </w:tabs>
        <w:ind w:left="2880" w:hanging="360"/>
      </w:pPr>
      <w:rPr>
        <w:rFonts w:ascii="Wingdings 3" w:hAnsi="Wingdings 3" w:hint="default"/>
      </w:rPr>
    </w:lvl>
    <w:lvl w:ilvl="4" w:tplc="A9E8954E" w:tentative="1">
      <w:start w:val="1"/>
      <w:numFmt w:val="bullet"/>
      <w:lvlText w:val=""/>
      <w:lvlJc w:val="left"/>
      <w:pPr>
        <w:tabs>
          <w:tab w:val="num" w:pos="3600"/>
        </w:tabs>
        <w:ind w:left="3600" w:hanging="360"/>
      </w:pPr>
      <w:rPr>
        <w:rFonts w:ascii="Wingdings 3" w:hAnsi="Wingdings 3" w:hint="default"/>
      </w:rPr>
    </w:lvl>
    <w:lvl w:ilvl="5" w:tplc="777E97B8" w:tentative="1">
      <w:start w:val="1"/>
      <w:numFmt w:val="bullet"/>
      <w:lvlText w:val=""/>
      <w:lvlJc w:val="left"/>
      <w:pPr>
        <w:tabs>
          <w:tab w:val="num" w:pos="4320"/>
        </w:tabs>
        <w:ind w:left="4320" w:hanging="360"/>
      </w:pPr>
      <w:rPr>
        <w:rFonts w:ascii="Wingdings 3" w:hAnsi="Wingdings 3" w:hint="default"/>
      </w:rPr>
    </w:lvl>
    <w:lvl w:ilvl="6" w:tplc="E62CAAE4" w:tentative="1">
      <w:start w:val="1"/>
      <w:numFmt w:val="bullet"/>
      <w:lvlText w:val=""/>
      <w:lvlJc w:val="left"/>
      <w:pPr>
        <w:tabs>
          <w:tab w:val="num" w:pos="5040"/>
        </w:tabs>
        <w:ind w:left="5040" w:hanging="360"/>
      </w:pPr>
      <w:rPr>
        <w:rFonts w:ascii="Wingdings 3" w:hAnsi="Wingdings 3" w:hint="default"/>
      </w:rPr>
    </w:lvl>
    <w:lvl w:ilvl="7" w:tplc="759C525C" w:tentative="1">
      <w:start w:val="1"/>
      <w:numFmt w:val="bullet"/>
      <w:lvlText w:val=""/>
      <w:lvlJc w:val="left"/>
      <w:pPr>
        <w:tabs>
          <w:tab w:val="num" w:pos="5760"/>
        </w:tabs>
        <w:ind w:left="5760" w:hanging="360"/>
      </w:pPr>
      <w:rPr>
        <w:rFonts w:ascii="Wingdings 3" w:hAnsi="Wingdings 3" w:hint="default"/>
      </w:rPr>
    </w:lvl>
    <w:lvl w:ilvl="8" w:tplc="1CE0FCFA" w:tentative="1">
      <w:start w:val="1"/>
      <w:numFmt w:val="bullet"/>
      <w:lvlText w:val=""/>
      <w:lvlJc w:val="left"/>
      <w:pPr>
        <w:tabs>
          <w:tab w:val="num" w:pos="6480"/>
        </w:tabs>
        <w:ind w:left="6480" w:hanging="360"/>
      </w:pPr>
      <w:rPr>
        <w:rFonts w:ascii="Wingdings 3" w:hAnsi="Wingdings 3" w:hint="default"/>
      </w:rPr>
    </w:lvl>
  </w:abstractNum>
  <w:num w:numId="1">
    <w:abstractNumId w:val="10"/>
  </w:num>
  <w:num w:numId="2">
    <w:abstractNumId w:val="6"/>
  </w:num>
  <w:num w:numId="3">
    <w:abstractNumId w:val="4"/>
  </w:num>
  <w:num w:numId="4">
    <w:abstractNumId w:val="3"/>
  </w:num>
  <w:num w:numId="5">
    <w:abstractNumId w:val="5"/>
  </w:num>
  <w:num w:numId="6">
    <w:abstractNumId w:val="12"/>
  </w:num>
  <w:num w:numId="7">
    <w:abstractNumId w:val="7"/>
  </w:num>
  <w:num w:numId="8">
    <w:abstractNumId w:val="15"/>
  </w:num>
  <w:num w:numId="9">
    <w:abstractNumId w:val="14"/>
  </w:num>
  <w:num w:numId="10">
    <w:abstractNumId w:val="16"/>
  </w:num>
  <w:num w:numId="11">
    <w:abstractNumId w:val="1"/>
  </w:num>
  <w:num w:numId="12">
    <w:abstractNumId w:val="11"/>
  </w:num>
  <w:num w:numId="13">
    <w:abstractNumId w:val="2"/>
  </w:num>
  <w:num w:numId="14">
    <w:abstractNumId w:val="13"/>
  </w:num>
  <w:num w:numId="15">
    <w:abstractNumId w:val="8"/>
  </w:num>
  <w:num w:numId="16">
    <w:abstractNumId w:val="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001"/>
    <w:rsid w:val="00000222"/>
    <w:rsid w:val="000056E3"/>
    <w:rsid w:val="00025526"/>
    <w:rsid w:val="00027411"/>
    <w:rsid w:val="00033711"/>
    <w:rsid w:val="000338C6"/>
    <w:rsid w:val="00046F8B"/>
    <w:rsid w:val="00047ED3"/>
    <w:rsid w:val="0005518C"/>
    <w:rsid w:val="00056C2A"/>
    <w:rsid w:val="00065BC6"/>
    <w:rsid w:val="0009460A"/>
    <w:rsid w:val="000C0F53"/>
    <w:rsid w:val="000C5186"/>
    <w:rsid w:val="000E20E4"/>
    <w:rsid w:val="000E3D59"/>
    <w:rsid w:val="001079D6"/>
    <w:rsid w:val="001100DE"/>
    <w:rsid w:val="00115E3C"/>
    <w:rsid w:val="00132F5F"/>
    <w:rsid w:val="0013325B"/>
    <w:rsid w:val="0013485B"/>
    <w:rsid w:val="00136597"/>
    <w:rsid w:val="001422C8"/>
    <w:rsid w:val="00145FC6"/>
    <w:rsid w:val="00146600"/>
    <w:rsid w:val="0015430D"/>
    <w:rsid w:val="00173832"/>
    <w:rsid w:val="001A6F70"/>
    <w:rsid w:val="001B059E"/>
    <w:rsid w:val="001B0EA3"/>
    <w:rsid w:val="001C29CD"/>
    <w:rsid w:val="001C4546"/>
    <w:rsid w:val="001C5008"/>
    <w:rsid w:val="001E282B"/>
    <w:rsid w:val="001F60AF"/>
    <w:rsid w:val="00207988"/>
    <w:rsid w:val="002108F3"/>
    <w:rsid w:val="0022120F"/>
    <w:rsid w:val="00237BE9"/>
    <w:rsid w:val="002403D3"/>
    <w:rsid w:val="00260E85"/>
    <w:rsid w:val="00263BF8"/>
    <w:rsid w:val="00273DC3"/>
    <w:rsid w:val="00281F6A"/>
    <w:rsid w:val="00282E9A"/>
    <w:rsid w:val="002927A9"/>
    <w:rsid w:val="002A09B2"/>
    <w:rsid w:val="002A2008"/>
    <w:rsid w:val="002B1F1F"/>
    <w:rsid w:val="002B34FD"/>
    <w:rsid w:val="002B7A87"/>
    <w:rsid w:val="002C1B20"/>
    <w:rsid w:val="002C46A5"/>
    <w:rsid w:val="002D2347"/>
    <w:rsid w:val="002D29D9"/>
    <w:rsid w:val="002D3666"/>
    <w:rsid w:val="002E2249"/>
    <w:rsid w:val="00304FF5"/>
    <w:rsid w:val="003051B0"/>
    <w:rsid w:val="0032387F"/>
    <w:rsid w:val="00324918"/>
    <w:rsid w:val="0033240B"/>
    <w:rsid w:val="00336703"/>
    <w:rsid w:val="00343557"/>
    <w:rsid w:val="00344744"/>
    <w:rsid w:val="00346444"/>
    <w:rsid w:val="00350A37"/>
    <w:rsid w:val="00352B44"/>
    <w:rsid w:val="00361315"/>
    <w:rsid w:val="00386B22"/>
    <w:rsid w:val="003A629F"/>
    <w:rsid w:val="003A67EB"/>
    <w:rsid w:val="003B637E"/>
    <w:rsid w:val="003C17ED"/>
    <w:rsid w:val="003C438A"/>
    <w:rsid w:val="003D1AAA"/>
    <w:rsid w:val="003D6C73"/>
    <w:rsid w:val="003E06C1"/>
    <w:rsid w:val="003F100C"/>
    <w:rsid w:val="00415653"/>
    <w:rsid w:val="004207A1"/>
    <w:rsid w:val="00420FD1"/>
    <w:rsid w:val="004335A8"/>
    <w:rsid w:val="00436A07"/>
    <w:rsid w:val="004441E0"/>
    <w:rsid w:val="00451702"/>
    <w:rsid w:val="00476924"/>
    <w:rsid w:val="00480536"/>
    <w:rsid w:val="00482C49"/>
    <w:rsid w:val="0049076F"/>
    <w:rsid w:val="00493436"/>
    <w:rsid w:val="004A6E2B"/>
    <w:rsid w:val="004A6FF5"/>
    <w:rsid w:val="004C7BDE"/>
    <w:rsid w:val="004E1001"/>
    <w:rsid w:val="004F53AC"/>
    <w:rsid w:val="005108C7"/>
    <w:rsid w:val="00512A46"/>
    <w:rsid w:val="00514CF1"/>
    <w:rsid w:val="005162CB"/>
    <w:rsid w:val="0052315B"/>
    <w:rsid w:val="00536BE4"/>
    <w:rsid w:val="00544C36"/>
    <w:rsid w:val="00551287"/>
    <w:rsid w:val="00591577"/>
    <w:rsid w:val="0059428A"/>
    <w:rsid w:val="005B3AB4"/>
    <w:rsid w:val="005C0394"/>
    <w:rsid w:val="005C28A8"/>
    <w:rsid w:val="005C50DC"/>
    <w:rsid w:val="005D3EA7"/>
    <w:rsid w:val="005E1304"/>
    <w:rsid w:val="005E3F90"/>
    <w:rsid w:val="00603BE6"/>
    <w:rsid w:val="006120D0"/>
    <w:rsid w:val="00624311"/>
    <w:rsid w:val="00633B27"/>
    <w:rsid w:val="006345DD"/>
    <w:rsid w:val="00642A0F"/>
    <w:rsid w:val="006432CC"/>
    <w:rsid w:val="0066717D"/>
    <w:rsid w:val="00677E54"/>
    <w:rsid w:val="00682821"/>
    <w:rsid w:val="006854E6"/>
    <w:rsid w:val="0069084F"/>
    <w:rsid w:val="006A3A1C"/>
    <w:rsid w:val="006A6B4C"/>
    <w:rsid w:val="006B1758"/>
    <w:rsid w:val="006D19B8"/>
    <w:rsid w:val="006D3EC6"/>
    <w:rsid w:val="00702023"/>
    <w:rsid w:val="0070401D"/>
    <w:rsid w:val="007429FF"/>
    <w:rsid w:val="0074479D"/>
    <w:rsid w:val="00763072"/>
    <w:rsid w:val="00772CD3"/>
    <w:rsid w:val="0078343C"/>
    <w:rsid w:val="007875D3"/>
    <w:rsid w:val="00792557"/>
    <w:rsid w:val="007C5CBB"/>
    <w:rsid w:val="007D24D1"/>
    <w:rsid w:val="007D577A"/>
    <w:rsid w:val="007E33C6"/>
    <w:rsid w:val="007F1D74"/>
    <w:rsid w:val="007F4912"/>
    <w:rsid w:val="008119F6"/>
    <w:rsid w:val="0082368A"/>
    <w:rsid w:val="00823E83"/>
    <w:rsid w:val="00826395"/>
    <w:rsid w:val="00833772"/>
    <w:rsid w:val="00835191"/>
    <w:rsid w:val="00843162"/>
    <w:rsid w:val="00843D82"/>
    <w:rsid w:val="00843E61"/>
    <w:rsid w:val="00854B17"/>
    <w:rsid w:val="00861092"/>
    <w:rsid w:val="00865A8E"/>
    <w:rsid w:val="00871F47"/>
    <w:rsid w:val="00874F91"/>
    <w:rsid w:val="00892D70"/>
    <w:rsid w:val="00893C6F"/>
    <w:rsid w:val="008A7651"/>
    <w:rsid w:val="008B0D59"/>
    <w:rsid w:val="008B6FD1"/>
    <w:rsid w:val="008C5F59"/>
    <w:rsid w:val="008D0A19"/>
    <w:rsid w:val="008E4730"/>
    <w:rsid w:val="008E6222"/>
    <w:rsid w:val="008F32BA"/>
    <w:rsid w:val="008F5E08"/>
    <w:rsid w:val="00902921"/>
    <w:rsid w:val="009051E4"/>
    <w:rsid w:val="00922D4A"/>
    <w:rsid w:val="00923DEE"/>
    <w:rsid w:val="00944737"/>
    <w:rsid w:val="00947F1E"/>
    <w:rsid w:val="00954C4F"/>
    <w:rsid w:val="009566AA"/>
    <w:rsid w:val="0096699F"/>
    <w:rsid w:val="00976CE6"/>
    <w:rsid w:val="00977C8F"/>
    <w:rsid w:val="00980E01"/>
    <w:rsid w:val="00985C21"/>
    <w:rsid w:val="00990EE0"/>
    <w:rsid w:val="00993716"/>
    <w:rsid w:val="009964B9"/>
    <w:rsid w:val="009C4D65"/>
    <w:rsid w:val="009C72B8"/>
    <w:rsid w:val="009D546A"/>
    <w:rsid w:val="009D5F17"/>
    <w:rsid w:val="009F79D2"/>
    <w:rsid w:val="00A03D06"/>
    <w:rsid w:val="00A07117"/>
    <w:rsid w:val="00A11742"/>
    <w:rsid w:val="00A122AC"/>
    <w:rsid w:val="00A13EE3"/>
    <w:rsid w:val="00A179FA"/>
    <w:rsid w:val="00A55396"/>
    <w:rsid w:val="00A556E8"/>
    <w:rsid w:val="00A7721C"/>
    <w:rsid w:val="00AA0098"/>
    <w:rsid w:val="00AA7530"/>
    <w:rsid w:val="00AC362F"/>
    <w:rsid w:val="00AC643B"/>
    <w:rsid w:val="00AD00B9"/>
    <w:rsid w:val="00AD5E87"/>
    <w:rsid w:val="00AE130C"/>
    <w:rsid w:val="00AF2065"/>
    <w:rsid w:val="00B06025"/>
    <w:rsid w:val="00B272E7"/>
    <w:rsid w:val="00B316E9"/>
    <w:rsid w:val="00B477BB"/>
    <w:rsid w:val="00B53A4A"/>
    <w:rsid w:val="00B74E50"/>
    <w:rsid w:val="00B8394C"/>
    <w:rsid w:val="00B92570"/>
    <w:rsid w:val="00B9707A"/>
    <w:rsid w:val="00BA1272"/>
    <w:rsid w:val="00BB3423"/>
    <w:rsid w:val="00BD1A28"/>
    <w:rsid w:val="00BE1167"/>
    <w:rsid w:val="00BF1C7C"/>
    <w:rsid w:val="00C12C26"/>
    <w:rsid w:val="00C2767B"/>
    <w:rsid w:val="00C32844"/>
    <w:rsid w:val="00C35A23"/>
    <w:rsid w:val="00C35F10"/>
    <w:rsid w:val="00C47ED3"/>
    <w:rsid w:val="00C52827"/>
    <w:rsid w:val="00C61368"/>
    <w:rsid w:val="00C62F3B"/>
    <w:rsid w:val="00C6399B"/>
    <w:rsid w:val="00C73375"/>
    <w:rsid w:val="00C742D4"/>
    <w:rsid w:val="00C82B62"/>
    <w:rsid w:val="00C957F0"/>
    <w:rsid w:val="00CA7D90"/>
    <w:rsid w:val="00CB2FB1"/>
    <w:rsid w:val="00CC193D"/>
    <w:rsid w:val="00CC442C"/>
    <w:rsid w:val="00CD78C7"/>
    <w:rsid w:val="00CE6E93"/>
    <w:rsid w:val="00CF3F8B"/>
    <w:rsid w:val="00D063C2"/>
    <w:rsid w:val="00D10AE6"/>
    <w:rsid w:val="00D1124F"/>
    <w:rsid w:val="00D15A0E"/>
    <w:rsid w:val="00D30D9C"/>
    <w:rsid w:val="00D33418"/>
    <w:rsid w:val="00D40ADE"/>
    <w:rsid w:val="00D458FC"/>
    <w:rsid w:val="00D53BF6"/>
    <w:rsid w:val="00D54B99"/>
    <w:rsid w:val="00D63E4D"/>
    <w:rsid w:val="00D75371"/>
    <w:rsid w:val="00D7773A"/>
    <w:rsid w:val="00D80F08"/>
    <w:rsid w:val="00D87988"/>
    <w:rsid w:val="00D92DFF"/>
    <w:rsid w:val="00DA2E64"/>
    <w:rsid w:val="00DA39E9"/>
    <w:rsid w:val="00DA53E3"/>
    <w:rsid w:val="00DB760F"/>
    <w:rsid w:val="00DD038B"/>
    <w:rsid w:val="00DE1321"/>
    <w:rsid w:val="00DE3553"/>
    <w:rsid w:val="00E00B4C"/>
    <w:rsid w:val="00E06AB3"/>
    <w:rsid w:val="00E1028C"/>
    <w:rsid w:val="00E20488"/>
    <w:rsid w:val="00E21CE6"/>
    <w:rsid w:val="00E22D2C"/>
    <w:rsid w:val="00E26403"/>
    <w:rsid w:val="00E32191"/>
    <w:rsid w:val="00E33994"/>
    <w:rsid w:val="00E3561D"/>
    <w:rsid w:val="00E361C7"/>
    <w:rsid w:val="00E37ADB"/>
    <w:rsid w:val="00E442C3"/>
    <w:rsid w:val="00E4569F"/>
    <w:rsid w:val="00E8576D"/>
    <w:rsid w:val="00E92BDA"/>
    <w:rsid w:val="00EA416E"/>
    <w:rsid w:val="00EA5359"/>
    <w:rsid w:val="00EA7FA3"/>
    <w:rsid w:val="00EB3EB4"/>
    <w:rsid w:val="00EC087F"/>
    <w:rsid w:val="00EC71E9"/>
    <w:rsid w:val="00ED6EFD"/>
    <w:rsid w:val="00EE30B2"/>
    <w:rsid w:val="00EE46A8"/>
    <w:rsid w:val="00EE4EC6"/>
    <w:rsid w:val="00EE6284"/>
    <w:rsid w:val="00EE6421"/>
    <w:rsid w:val="00F03722"/>
    <w:rsid w:val="00F05405"/>
    <w:rsid w:val="00F05D84"/>
    <w:rsid w:val="00F05FA8"/>
    <w:rsid w:val="00F11EFC"/>
    <w:rsid w:val="00F14BCC"/>
    <w:rsid w:val="00F17883"/>
    <w:rsid w:val="00F26289"/>
    <w:rsid w:val="00F31B90"/>
    <w:rsid w:val="00F4145C"/>
    <w:rsid w:val="00F53FC6"/>
    <w:rsid w:val="00F70493"/>
    <w:rsid w:val="00F70CB1"/>
    <w:rsid w:val="00F87985"/>
    <w:rsid w:val="00F87B18"/>
    <w:rsid w:val="00F95650"/>
    <w:rsid w:val="00FC55F0"/>
    <w:rsid w:val="00FC6E8F"/>
    <w:rsid w:val="00FD24DD"/>
    <w:rsid w:val="00FE394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2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2E7"/>
    <w:pPr>
      <w:ind w:left="720"/>
      <w:contextualSpacing/>
    </w:pPr>
  </w:style>
  <w:style w:type="paragraph" w:styleId="NormalWeb">
    <w:name w:val="Normal (Web)"/>
    <w:basedOn w:val="Normal"/>
    <w:uiPriority w:val="99"/>
    <w:semiHidden/>
    <w:unhideWhenUsed/>
    <w:rsid w:val="00642A0F"/>
    <w:pPr>
      <w:spacing w:before="100" w:beforeAutospacing="1" w:after="100" w:afterAutospacing="1" w:line="240" w:lineRule="auto"/>
    </w:pPr>
    <w:rPr>
      <w:rFonts w:ascii="Times New Roman" w:eastAsiaTheme="minorEastAsia" w:hAnsi="Times New Roman" w:cs="Times New Roman"/>
      <w:sz w:val="24"/>
      <w:szCs w:val="24"/>
      <w:lang w:eastAsia="en-GB"/>
    </w:rPr>
  </w:style>
  <w:style w:type="character" w:styleId="Hyperlink">
    <w:name w:val="Hyperlink"/>
    <w:basedOn w:val="DefaultParagraphFont"/>
    <w:uiPriority w:val="99"/>
    <w:unhideWhenUsed/>
    <w:rsid w:val="000E20E4"/>
    <w:rPr>
      <w:color w:val="0563C1" w:themeColor="hyperlink"/>
      <w:u w:val="single"/>
    </w:rPr>
  </w:style>
  <w:style w:type="paragraph" w:styleId="BalloonText">
    <w:name w:val="Balloon Text"/>
    <w:basedOn w:val="Normal"/>
    <w:link w:val="BalloonTextChar"/>
    <w:uiPriority w:val="99"/>
    <w:semiHidden/>
    <w:unhideWhenUsed/>
    <w:rsid w:val="001C45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546"/>
    <w:rPr>
      <w:rFonts w:ascii="Tahoma" w:hAnsi="Tahoma" w:cs="Tahoma"/>
      <w:sz w:val="16"/>
      <w:szCs w:val="16"/>
    </w:rPr>
  </w:style>
  <w:style w:type="character" w:styleId="CommentReference">
    <w:name w:val="annotation reference"/>
    <w:basedOn w:val="DefaultParagraphFont"/>
    <w:uiPriority w:val="99"/>
    <w:semiHidden/>
    <w:unhideWhenUsed/>
    <w:rsid w:val="001C4546"/>
    <w:rPr>
      <w:sz w:val="16"/>
      <w:szCs w:val="16"/>
    </w:rPr>
  </w:style>
  <w:style w:type="paragraph" w:styleId="CommentText">
    <w:name w:val="annotation text"/>
    <w:basedOn w:val="Normal"/>
    <w:link w:val="CommentTextChar"/>
    <w:uiPriority w:val="99"/>
    <w:unhideWhenUsed/>
    <w:rsid w:val="001C4546"/>
    <w:pPr>
      <w:spacing w:line="240" w:lineRule="auto"/>
    </w:pPr>
    <w:rPr>
      <w:sz w:val="20"/>
      <w:szCs w:val="20"/>
    </w:rPr>
  </w:style>
  <w:style w:type="character" w:customStyle="1" w:styleId="CommentTextChar">
    <w:name w:val="Comment Text Char"/>
    <w:basedOn w:val="DefaultParagraphFont"/>
    <w:link w:val="CommentText"/>
    <w:uiPriority w:val="99"/>
    <w:rsid w:val="001C4546"/>
    <w:rPr>
      <w:sz w:val="20"/>
      <w:szCs w:val="20"/>
    </w:rPr>
  </w:style>
  <w:style w:type="paragraph" w:styleId="CommentSubject">
    <w:name w:val="annotation subject"/>
    <w:basedOn w:val="CommentText"/>
    <w:next w:val="CommentText"/>
    <w:link w:val="CommentSubjectChar"/>
    <w:uiPriority w:val="99"/>
    <w:semiHidden/>
    <w:unhideWhenUsed/>
    <w:rsid w:val="001C4546"/>
    <w:rPr>
      <w:b/>
      <w:bCs/>
    </w:rPr>
  </w:style>
  <w:style w:type="character" w:customStyle="1" w:styleId="CommentSubjectChar">
    <w:name w:val="Comment Subject Char"/>
    <w:basedOn w:val="CommentTextChar"/>
    <w:link w:val="CommentSubject"/>
    <w:uiPriority w:val="99"/>
    <w:semiHidden/>
    <w:rsid w:val="001C4546"/>
    <w:rPr>
      <w:b/>
      <w:bCs/>
      <w:sz w:val="20"/>
      <w:szCs w:val="20"/>
    </w:rPr>
  </w:style>
  <w:style w:type="paragraph" w:styleId="Header">
    <w:name w:val="header"/>
    <w:basedOn w:val="Normal"/>
    <w:link w:val="HeaderChar"/>
    <w:uiPriority w:val="99"/>
    <w:unhideWhenUsed/>
    <w:rsid w:val="007D24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24D1"/>
  </w:style>
  <w:style w:type="paragraph" w:styleId="Footer">
    <w:name w:val="footer"/>
    <w:basedOn w:val="Normal"/>
    <w:link w:val="FooterChar"/>
    <w:uiPriority w:val="99"/>
    <w:unhideWhenUsed/>
    <w:rsid w:val="007D24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24D1"/>
  </w:style>
  <w:style w:type="paragraph" w:styleId="Revision">
    <w:name w:val="Revision"/>
    <w:hidden/>
    <w:uiPriority w:val="99"/>
    <w:semiHidden/>
    <w:rsid w:val="001365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7120">
      <w:bodyDiv w:val="1"/>
      <w:marLeft w:val="0"/>
      <w:marRight w:val="0"/>
      <w:marTop w:val="0"/>
      <w:marBottom w:val="0"/>
      <w:divBdr>
        <w:top w:val="none" w:sz="0" w:space="0" w:color="auto"/>
        <w:left w:val="none" w:sz="0" w:space="0" w:color="auto"/>
        <w:bottom w:val="none" w:sz="0" w:space="0" w:color="auto"/>
        <w:right w:val="none" w:sz="0" w:space="0" w:color="auto"/>
      </w:divBdr>
    </w:div>
    <w:div w:id="498236042">
      <w:bodyDiv w:val="1"/>
      <w:marLeft w:val="0"/>
      <w:marRight w:val="0"/>
      <w:marTop w:val="0"/>
      <w:marBottom w:val="0"/>
      <w:divBdr>
        <w:top w:val="none" w:sz="0" w:space="0" w:color="auto"/>
        <w:left w:val="none" w:sz="0" w:space="0" w:color="auto"/>
        <w:bottom w:val="none" w:sz="0" w:space="0" w:color="auto"/>
        <w:right w:val="none" w:sz="0" w:space="0" w:color="auto"/>
      </w:divBdr>
      <w:divsChild>
        <w:div w:id="1245919700">
          <w:marLeft w:val="547"/>
          <w:marRight w:val="0"/>
          <w:marTop w:val="200"/>
          <w:marBottom w:val="0"/>
          <w:divBdr>
            <w:top w:val="none" w:sz="0" w:space="0" w:color="auto"/>
            <w:left w:val="none" w:sz="0" w:space="0" w:color="auto"/>
            <w:bottom w:val="none" w:sz="0" w:space="0" w:color="auto"/>
            <w:right w:val="none" w:sz="0" w:space="0" w:color="auto"/>
          </w:divBdr>
        </w:div>
        <w:div w:id="37438914">
          <w:marLeft w:val="547"/>
          <w:marRight w:val="0"/>
          <w:marTop w:val="200"/>
          <w:marBottom w:val="0"/>
          <w:divBdr>
            <w:top w:val="none" w:sz="0" w:space="0" w:color="auto"/>
            <w:left w:val="none" w:sz="0" w:space="0" w:color="auto"/>
            <w:bottom w:val="none" w:sz="0" w:space="0" w:color="auto"/>
            <w:right w:val="none" w:sz="0" w:space="0" w:color="auto"/>
          </w:divBdr>
        </w:div>
        <w:div w:id="456023363">
          <w:marLeft w:val="547"/>
          <w:marRight w:val="0"/>
          <w:marTop w:val="200"/>
          <w:marBottom w:val="0"/>
          <w:divBdr>
            <w:top w:val="none" w:sz="0" w:space="0" w:color="auto"/>
            <w:left w:val="none" w:sz="0" w:space="0" w:color="auto"/>
            <w:bottom w:val="none" w:sz="0" w:space="0" w:color="auto"/>
            <w:right w:val="none" w:sz="0" w:space="0" w:color="auto"/>
          </w:divBdr>
        </w:div>
        <w:div w:id="590895031">
          <w:marLeft w:val="547"/>
          <w:marRight w:val="0"/>
          <w:marTop w:val="200"/>
          <w:marBottom w:val="0"/>
          <w:divBdr>
            <w:top w:val="none" w:sz="0" w:space="0" w:color="auto"/>
            <w:left w:val="none" w:sz="0" w:space="0" w:color="auto"/>
            <w:bottom w:val="none" w:sz="0" w:space="0" w:color="auto"/>
            <w:right w:val="none" w:sz="0" w:space="0" w:color="auto"/>
          </w:divBdr>
        </w:div>
      </w:divsChild>
    </w:div>
    <w:div w:id="1060904163">
      <w:bodyDiv w:val="1"/>
      <w:marLeft w:val="0"/>
      <w:marRight w:val="0"/>
      <w:marTop w:val="0"/>
      <w:marBottom w:val="0"/>
      <w:divBdr>
        <w:top w:val="none" w:sz="0" w:space="0" w:color="auto"/>
        <w:left w:val="none" w:sz="0" w:space="0" w:color="auto"/>
        <w:bottom w:val="none" w:sz="0" w:space="0" w:color="auto"/>
        <w:right w:val="none" w:sz="0" w:space="0" w:color="auto"/>
      </w:divBdr>
    </w:div>
    <w:div w:id="1068262678">
      <w:bodyDiv w:val="1"/>
      <w:marLeft w:val="0"/>
      <w:marRight w:val="0"/>
      <w:marTop w:val="0"/>
      <w:marBottom w:val="0"/>
      <w:divBdr>
        <w:top w:val="none" w:sz="0" w:space="0" w:color="auto"/>
        <w:left w:val="none" w:sz="0" w:space="0" w:color="auto"/>
        <w:bottom w:val="none" w:sz="0" w:space="0" w:color="auto"/>
        <w:right w:val="none" w:sz="0" w:space="0" w:color="auto"/>
      </w:divBdr>
    </w:div>
    <w:div w:id="1227299310">
      <w:bodyDiv w:val="1"/>
      <w:marLeft w:val="0"/>
      <w:marRight w:val="0"/>
      <w:marTop w:val="0"/>
      <w:marBottom w:val="0"/>
      <w:divBdr>
        <w:top w:val="none" w:sz="0" w:space="0" w:color="auto"/>
        <w:left w:val="none" w:sz="0" w:space="0" w:color="auto"/>
        <w:bottom w:val="none" w:sz="0" w:space="0" w:color="auto"/>
        <w:right w:val="none" w:sz="0" w:space="0" w:color="auto"/>
      </w:divBdr>
      <w:divsChild>
        <w:div w:id="93791556">
          <w:marLeft w:val="547"/>
          <w:marRight w:val="0"/>
          <w:marTop w:val="200"/>
          <w:marBottom w:val="0"/>
          <w:divBdr>
            <w:top w:val="none" w:sz="0" w:space="0" w:color="auto"/>
            <w:left w:val="none" w:sz="0" w:space="0" w:color="auto"/>
            <w:bottom w:val="none" w:sz="0" w:space="0" w:color="auto"/>
            <w:right w:val="none" w:sz="0" w:space="0" w:color="auto"/>
          </w:divBdr>
        </w:div>
        <w:div w:id="1813600572">
          <w:marLeft w:val="547"/>
          <w:marRight w:val="0"/>
          <w:marTop w:val="200"/>
          <w:marBottom w:val="0"/>
          <w:divBdr>
            <w:top w:val="none" w:sz="0" w:space="0" w:color="auto"/>
            <w:left w:val="none" w:sz="0" w:space="0" w:color="auto"/>
            <w:bottom w:val="none" w:sz="0" w:space="0" w:color="auto"/>
            <w:right w:val="none" w:sz="0" w:space="0" w:color="auto"/>
          </w:divBdr>
        </w:div>
        <w:div w:id="1633092621">
          <w:marLeft w:val="547"/>
          <w:marRight w:val="0"/>
          <w:marTop w:val="200"/>
          <w:marBottom w:val="0"/>
          <w:divBdr>
            <w:top w:val="none" w:sz="0" w:space="0" w:color="auto"/>
            <w:left w:val="none" w:sz="0" w:space="0" w:color="auto"/>
            <w:bottom w:val="none" w:sz="0" w:space="0" w:color="auto"/>
            <w:right w:val="none" w:sz="0" w:space="0" w:color="auto"/>
          </w:divBdr>
        </w:div>
        <w:div w:id="1711610596">
          <w:marLeft w:val="547"/>
          <w:marRight w:val="0"/>
          <w:marTop w:val="200"/>
          <w:marBottom w:val="0"/>
          <w:divBdr>
            <w:top w:val="none" w:sz="0" w:space="0" w:color="auto"/>
            <w:left w:val="none" w:sz="0" w:space="0" w:color="auto"/>
            <w:bottom w:val="none" w:sz="0" w:space="0" w:color="auto"/>
            <w:right w:val="none" w:sz="0" w:space="0" w:color="auto"/>
          </w:divBdr>
        </w:div>
        <w:div w:id="1042945121">
          <w:marLeft w:val="547"/>
          <w:marRight w:val="0"/>
          <w:marTop w:val="200"/>
          <w:marBottom w:val="0"/>
          <w:divBdr>
            <w:top w:val="none" w:sz="0" w:space="0" w:color="auto"/>
            <w:left w:val="none" w:sz="0" w:space="0" w:color="auto"/>
            <w:bottom w:val="none" w:sz="0" w:space="0" w:color="auto"/>
            <w:right w:val="none" w:sz="0" w:space="0" w:color="auto"/>
          </w:divBdr>
        </w:div>
      </w:divsChild>
    </w:div>
    <w:div w:id="1343776600">
      <w:bodyDiv w:val="1"/>
      <w:marLeft w:val="0"/>
      <w:marRight w:val="0"/>
      <w:marTop w:val="0"/>
      <w:marBottom w:val="0"/>
      <w:divBdr>
        <w:top w:val="none" w:sz="0" w:space="0" w:color="auto"/>
        <w:left w:val="none" w:sz="0" w:space="0" w:color="auto"/>
        <w:bottom w:val="none" w:sz="0" w:space="0" w:color="auto"/>
        <w:right w:val="none" w:sz="0" w:space="0" w:color="auto"/>
      </w:divBdr>
      <w:divsChild>
        <w:div w:id="241450387">
          <w:marLeft w:val="360"/>
          <w:marRight w:val="0"/>
          <w:marTop w:val="200"/>
          <w:marBottom w:val="0"/>
          <w:divBdr>
            <w:top w:val="none" w:sz="0" w:space="0" w:color="auto"/>
            <w:left w:val="none" w:sz="0" w:space="0" w:color="auto"/>
            <w:bottom w:val="none" w:sz="0" w:space="0" w:color="auto"/>
            <w:right w:val="none" w:sz="0" w:space="0" w:color="auto"/>
          </w:divBdr>
        </w:div>
      </w:divsChild>
    </w:div>
    <w:div w:id="1679111167">
      <w:bodyDiv w:val="1"/>
      <w:marLeft w:val="0"/>
      <w:marRight w:val="0"/>
      <w:marTop w:val="0"/>
      <w:marBottom w:val="0"/>
      <w:divBdr>
        <w:top w:val="none" w:sz="0" w:space="0" w:color="auto"/>
        <w:left w:val="none" w:sz="0" w:space="0" w:color="auto"/>
        <w:bottom w:val="none" w:sz="0" w:space="0" w:color="auto"/>
        <w:right w:val="none" w:sz="0" w:space="0" w:color="auto"/>
      </w:divBdr>
      <w:divsChild>
        <w:div w:id="126508561">
          <w:marLeft w:val="360"/>
          <w:marRight w:val="0"/>
          <w:marTop w:val="200"/>
          <w:marBottom w:val="0"/>
          <w:divBdr>
            <w:top w:val="none" w:sz="0" w:space="0" w:color="auto"/>
            <w:left w:val="none" w:sz="0" w:space="0" w:color="auto"/>
            <w:bottom w:val="none" w:sz="0" w:space="0" w:color="auto"/>
            <w:right w:val="none" w:sz="0" w:space="0" w:color="auto"/>
          </w:divBdr>
        </w:div>
      </w:divsChild>
    </w:div>
    <w:div w:id="1965696714">
      <w:bodyDiv w:val="1"/>
      <w:marLeft w:val="0"/>
      <w:marRight w:val="0"/>
      <w:marTop w:val="0"/>
      <w:marBottom w:val="0"/>
      <w:divBdr>
        <w:top w:val="none" w:sz="0" w:space="0" w:color="auto"/>
        <w:left w:val="none" w:sz="0" w:space="0" w:color="auto"/>
        <w:bottom w:val="none" w:sz="0" w:space="0" w:color="auto"/>
        <w:right w:val="none" w:sz="0" w:space="0" w:color="auto"/>
      </w:divBdr>
    </w:div>
    <w:div w:id="199983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F9FD6-816E-49F4-8DC4-4F710833A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1653</Words>
  <Characters>9424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2020-10-27T12:06:00Z</dcterms:created>
  <dcterms:modified xsi:type="dcterms:W3CDTF">2020-11-23T09:49:00Z</dcterms:modified>
  <cp:category/>
</cp:coreProperties>
</file>