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BF01" w14:textId="77777777" w:rsidR="008C745A" w:rsidRPr="00637F69" w:rsidRDefault="008C745A" w:rsidP="008C745A">
      <w:pPr>
        <w:rPr>
          <w:color w:val="2F5496" w:themeColor="accent1" w:themeShade="BF"/>
        </w:rPr>
      </w:pPr>
    </w:p>
    <w:p w14:paraId="455E78A2" w14:textId="77777777" w:rsidR="008C745A" w:rsidRPr="00637F69" w:rsidRDefault="008C745A" w:rsidP="008C745A">
      <w:pPr>
        <w:rPr>
          <w:color w:val="2F5496" w:themeColor="accent1" w:themeShade="BF"/>
        </w:rPr>
      </w:pPr>
    </w:p>
    <w:p w14:paraId="44B230E7" w14:textId="222BB301" w:rsidR="008C745A" w:rsidRPr="00637F69" w:rsidRDefault="008C745A" w:rsidP="008C745A">
      <w:pPr>
        <w:spacing w:after="0" w:line="240" w:lineRule="auto"/>
        <w:rPr>
          <w:rFonts w:eastAsia="Times New Roman" w:cstheme="minorHAnsi"/>
          <w:color w:val="2F5496" w:themeColor="accent1" w:themeShade="BF"/>
          <w:sz w:val="24"/>
          <w:szCs w:val="24"/>
          <w:u w:val="single"/>
        </w:rPr>
      </w:pPr>
      <w:r w:rsidRPr="00637F69">
        <w:rPr>
          <w:rFonts w:eastAsia="Times New Roman" w:cstheme="minorHAnsi"/>
          <w:color w:val="2F5496" w:themeColor="accent1" w:themeShade="BF"/>
          <w:sz w:val="24"/>
          <w:szCs w:val="24"/>
          <w:u w:val="single"/>
        </w:rPr>
        <w:t>Legal analyses on “MOL extension on grace period and Work Permits fees for Syrians in Jordan”:</w:t>
      </w:r>
    </w:p>
    <w:p w14:paraId="7A904DEB" w14:textId="77777777" w:rsidR="008C745A" w:rsidRPr="00637F69" w:rsidRDefault="008C745A" w:rsidP="008C745A">
      <w:pPr>
        <w:rPr>
          <w:color w:val="2F5496" w:themeColor="accent1" w:themeShade="BF"/>
        </w:rPr>
      </w:pPr>
    </w:p>
    <w:p w14:paraId="60BCF9EA" w14:textId="313533FD" w:rsidR="008C745A" w:rsidRPr="00637F69" w:rsidRDefault="008C745A" w:rsidP="008C745A">
      <w:pPr>
        <w:rPr>
          <w:b/>
          <w:bCs/>
          <w:color w:val="2F5496" w:themeColor="accent1" w:themeShade="BF"/>
        </w:rPr>
      </w:pPr>
      <w:r w:rsidRPr="00637F69">
        <w:rPr>
          <w:b/>
          <w:bCs/>
          <w:color w:val="2F5496" w:themeColor="accent1" w:themeShade="BF"/>
          <w:highlight w:val="lightGray"/>
        </w:rPr>
        <w:t>Background:</w:t>
      </w:r>
    </w:p>
    <w:p w14:paraId="6118492D" w14:textId="77777777" w:rsidR="008C745A" w:rsidRPr="00637F69" w:rsidRDefault="008C745A" w:rsidP="008C745A">
      <w:pPr>
        <w:rPr>
          <w:b/>
          <w:bCs/>
          <w:color w:val="2F5496" w:themeColor="accent1" w:themeShade="BF"/>
        </w:rPr>
      </w:pPr>
    </w:p>
    <w:p w14:paraId="28C7E894" w14:textId="33799D73" w:rsidR="008C745A" w:rsidRPr="00637F69" w:rsidRDefault="008C745A" w:rsidP="008C745A">
      <w:pPr>
        <w:rPr>
          <w:color w:val="2F5496" w:themeColor="accent1" w:themeShade="BF"/>
        </w:rPr>
      </w:pPr>
      <w:r w:rsidRPr="00637F69">
        <w:rPr>
          <w:color w:val="2F5496" w:themeColor="accent1" w:themeShade="BF"/>
        </w:rPr>
        <w:t>Generally, the tenth extension for the grace period related to rectifying the status of Syrian workers in Jordan came with the same concept where the Syrian workers are exempted from paying the fees needed to issue a work permit. However, we have noticed that the current announcement came with few changes, in this paper we will analysis those changes/additional points from legal perspective.</w:t>
      </w:r>
    </w:p>
    <w:p w14:paraId="18323874" w14:textId="77777777" w:rsidR="008C745A" w:rsidRPr="00637F69" w:rsidRDefault="008C745A" w:rsidP="008C745A">
      <w:pPr>
        <w:rPr>
          <w:color w:val="2F5496" w:themeColor="accent1" w:themeShade="BF"/>
          <w:rtl/>
        </w:rPr>
      </w:pPr>
    </w:p>
    <w:p w14:paraId="4AC1AC5C" w14:textId="51B2CE8F" w:rsidR="008C745A" w:rsidRPr="00637F69" w:rsidRDefault="008C745A" w:rsidP="00637F69">
      <w:pPr>
        <w:rPr>
          <w:b/>
          <w:bCs/>
          <w:color w:val="2F5496" w:themeColor="accent1" w:themeShade="BF"/>
          <w:u w:val="single"/>
        </w:rPr>
      </w:pPr>
      <w:r w:rsidRPr="00637F69">
        <w:rPr>
          <w:b/>
          <w:bCs/>
          <w:color w:val="2F5496" w:themeColor="accent1" w:themeShade="BF"/>
          <w:highlight w:val="lightGray"/>
          <w:u w:val="single"/>
        </w:rPr>
        <w:t>First:</w:t>
      </w:r>
      <w:r w:rsidRPr="00637F69">
        <w:rPr>
          <w:b/>
          <w:bCs/>
          <w:color w:val="2F5496" w:themeColor="accent1" w:themeShade="BF"/>
          <w:u w:val="single"/>
        </w:rPr>
        <w:t xml:space="preserve"> </w:t>
      </w:r>
    </w:p>
    <w:tbl>
      <w:tblPr>
        <w:tblStyle w:val="TableGrid"/>
        <w:tblW w:w="9895" w:type="dxa"/>
        <w:tblLook w:val="04A0" w:firstRow="1" w:lastRow="0" w:firstColumn="1" w:lastColumn="0" w:noHBand="0" w:noVBand="1"/>
      </w:tblPr>
      <w:tblGrid>
        <w:gridCol w:w="4855"/>
        <w:gridCol w:w="5040"/>
      </w:tblGrid>
      <w:tr w:rsidR="00637F69" w:rsidRPr="00637F69" w14:paraId="4950B96A" w14:textId="77777777" w:rsidTr="00650D10">
        <w:tc>
          <w:tcPr>
            <w:tcW w:w="4855" w:type="dxa"/>
          </w:tcPr>
          <w:p w14:paraId="02FE12FA" w14:textId="77777777" w:rsidR="008C745A" w:rsidRPr="00637F69" w:rsidRDefault="008C745A" w:rsidP="00650D10">
            <w:pPr>
              <w:rPr>
                <w:i/>
                <w:iCs/>
                <w:color w:val="2F5496" w:themeColor="accent1" w:themeShade="BF"/>
              </w:rPr>
            </w:pPr>
            <w:r w:rsidRPr="00637F69">
              <w:rPr>
                <w:i/>
                <w:iCs/>
                <w:color w:val="2F5496" w:themeColor="accent1" w:themeShade="BF"/>
              </w:rPr>
              <w:t>2020</w:t>
            </w:r>
          </w:p>
        </w:tc>
        <w:tc>
          <w:tcPr>
            <w:tcW w:w="5040" w:type="dxa"/>
          </w:tcPr>
          <w:p w14:paraId="682AB438" w14:textId="77777777" w:rsidR="008C745A" w:rsidRPr="00637F69" w:rsidRDefault="008C745A" w:rsidP="00650D10">
            <w:pPr>
              <w:rPr>
                <w:i/>
                <w:iCs/>
                <w:color w:val="2F5496" w:themeColor="accent1" w:themeShade="BF"/>
              </w:rPr>
            </w:pPr>
            <w:r w:rsidRPr="00637F69">
              <w:rPr>
                <w:i/>
                <w:iCs/>
                <w:color w:val="2F5496" w:themeColor="accent1" w:themeShade="BF"/>
              </w:rPr>
              <w:t>2021</w:t>
            </w:r>
          </w:p>
        </w:tc>
      </w:tr>
      <w:tr w:rsidR="00637F69" w:rsidRPr="00637F69" w14:paraId="3DC5E9CC" w14:textId="77777777" w:rsidTr="00650D10">
        <w:tc>
          <w:tcPr>
            <w:tcW w:w="4855" w:type="dxa"/>
          </w:tcPr>
          <w:p w14:paraId="38E5E5A9" w14:textId="77777777" w:rsidR="008C745A" w:rsidRPr="00637F69" w:rsidRDefault="008C745A" w:rsidP="00650D10">
            <w:pPr>
              <w:rPr>
                <w:i/>
                <w:iCs/>
                <w:color w:val="2F5496" w:themeColor="accent1" w:themeShade="BF"/>
              </w:rPr>
            </w:pPr>
            <w:r w:rsidRPr="00637F69">
              <w:rPr>
                <w:i/>
                <w:iCs/>
                <w:color w:val="2F5496" w:themeColor="accent1" w:themeShade="BF"/>
              </w:rPr>
              <w:t>“work permit Fees”</w:t>
            </w:r>
          </w:p>
          <w:p w14:paraId="66A8492D" w14:textId="77777777" w:rsidR="008C745A" w:rsidRPr="00637F69" w:rsidRDefault="008C745A" w:rsidP="00650D10">
            <w:pPr>
              <w:rPr>
                <w:i/>
                <w:iCs/>
                <w:color w:val="2F5496" w:themeColor="accent1" w:themeShade="BF"/>
              </w:rPr>
            </w:pPr>
          </w:p>
        </w:tc>
        <w:tc>
          <w:tcPr>
            <w:tcW w:w="5040" w:type="dxa"/>
          </w:tcPr>
          <w:p w14:paraId="610C39CF" w14:textId="77777777" w:rsidR="008C745A" w:rsidRPr="00637F69" w:rsidRDefault="008C745A" w:rsidP="00650D10">
            <w:pPr>
              <w:rPr>
                <w:i/>
                <w:iCs/>
                <w:color w:val="2F5496" w:themeColor="accent1" w:themeShade="BF"/>
              </w:rPr>
            </w:pPr>
            <w:r w:rsidRPr="00637F69">
              <w:rPr>
                <w:i/>
                <w:iCs/>
                <w:color w:val="2F5496" w:themeColor="accent1" w:themeShade="BF"/>
              </w:rPr>
              <w:t>“The fees of work permit issuance, renewal stipulated at article (2) the regulation of the work permit fees for non-Jordanians No. (142) year 2019.”</w:t>
            </w:r>
            <w:r w:rsidRPr="00637F69">
              <w:rPr>
                <w:rStyle w:val="FootnoteReference"/>
                <w:i/>
                <w:iCs/>
                <w:color w:val="2F5496" w:themeColor="accent1" w:themeShade="BF"/>
              </w:rPr>
              <w:footnoteReference w:id="1"/>
            </w:r>
          </w:p>
          <w:p w14:paraId="2D129AB5" w14:textId="77777777" w:rsidR="008C745A" w:rsidRPr="00637F69" w:rsidRDefault="008C745A" w:rsidP="00650D10">
            <w:pPr>
              <w:rPr>
                <w:i/>
                <w:iCs/>
                <w:color w:val="2F5496" w:themeColor="accent1" w:themeShade="BF"/>
              </w:rPr>
            </w:pPr>
          </w:p>
        </w:tc>
      </w:tr>
    </w:tbl>
    <w:p w14:paraId="5CF7D1D7" w14:textId="77777777" w:rsidR="008C745A" w:rsidRPr="00637F69" w:rsidRDefault="008C745A" w:rsidP="008C745A">
      <w:pPr>
        <w:rPr>
          <w:color w:val="2F5496" w:themeColor="accent1" w:themeShade="BF"/>
        </w:rPr>
      </w:pPr>
    </w:p>
    <w:p w14:paraId="2A3A10C7" w14:textId="77777777" w:rsidR="008C745A" w:rsidRPr="00637F69" w:rsidRDefault="008C745A" w:rsidP="008C745A">
      <w:pPr>
        <w:rPr>
          <w:color w:val="2F5496" w:themeColor="accent1" w:themeShade="BF"/>
        </w:rPr>
      </w:pPr>
      <w:r w:rsidRPr="00637F69">
        <w:rPr>
          <w:color w:val="2F5496" w:themeColor="accent1" w:themeShade="BF"/>
        </w:rPr>
        <w:t>The announcement of 2021 has referred “</w:t>
      </w:r>
      <w:r w:rsidRPr="00637F69">
        <w:rPr>
          <w:i/>
          <w:iCs/>
          <w:color w:val="2F5496" w:themeColor="accent1" w:themeShade="BF"/>
        </w:rPr>
        <w:t xml:space="preserve">the regulation of the work permit fees for non-Jordanians No. (142) year 2019.” </w:t>
      </w:r>
      <w:r w:rsidRPr="00637F69">
        <w:rPr>
          <w:color w:val="2F5496" w:themeColor="accent1" w:themeShade="BF"/>
        </w:rPr>
        <w:t xml:space="preserve">Issued based on clause C from article 12 of the </w:t>
      </w:r>
      <w:proofErr w:type="spellStart"/>
      <w:r w:rsidRPr="00637F69">
        <w:rPr>
          <w:color w:val="2F5496" w:themeColor="accent1" w:themeShade="BF"/>
        </w:rPr>
        <w:t>labour</w:t>
      </w:r>
      <w:proofErr w:type="spellEnd"/>
      <w:r w:rsidRPr="00637F69">
        <w:rPr>
          <w:color w:val="2F5496" w:themeColor="accent1" w:themeShade="BF"/>
        </w:rPr>
        <w:t xml:space="preserve"> law No.8 of the year 1996.</w:t>
      </w:r>
    </w:p>
    <w:p w14:paraId="10A27CCF" w14:textId="77777777" w:rsidR="008C745A" w:rsidRPr="00637F69" w:rsidRDefault="008C745A" w:rsidP="008C745A">
      <w:pPr>
        <w:rPr>
          <w:color w:val="2F5496" w:themeColor="accent1" w:themeShade="BF"/>
        </w:rPr>
      </w:pPr>
    </w:p>
    <w:p w14:paraId="449AD4DC" w14:textId="77777777" w:rsidR="008C745A" w:rsidRPr="00637F69" w:rsidRDefault="008C745A" w:rsidP="008C745A">
      <w:pPr>
        <w:rPr>
          <w:i/>
          <w:iCs/>
          <w:color w:val="2F5496" w:themeColor="accent1" w:themeShade="BF"/>
        </w:rPr>
      </w:pPr>
      <w:r w:rsidRPr="00637F69">
        <w:rPr>
          <w:i/>
          <w:iCs/>
          <w:color w:val="2F5496" w:themeColor="accent1" w:themeShade="BF"/>
        </w:rPr>
        <w:t>Article (1):</w:t>
      </w:r>
    </w:p>
    <w:p w14:paraId="02E4D697" w14:textId="64A1745A" w:rsidR="008C745A" w:rsidRPr="00637F69" w:rsidRDefault="008C745A" w:rsidP="008C745A">
      <w:pPr>
        <w:rPr>
          <w:i/>
          <w:iCs/>
          <w:color w:val="2F5496" w:themeColor="accent1" w:themeShade="BF"/>
        </w:rPr>
      </w:pPr>
      <w:r w:rsidRPr="00637F69">
        <w:rPr>
          <w:i/>
          <w:iCs/>
          <w:color w:val="2F5496" w:themeColor="accent1" w:themeShade="BF"/>
        </w:rPr>
        <w:t>This regulation called the: “regulation of the work permit fees for non-Jordanians o</w:t>
      </w:r>
      <w:r w:rsidR="00564D52">
        <w:rPr>
          <w:i/>
          <w:iCs/>
          <w:color w:val="2F5496" w:themeColor="accent1" w:themeShade="BF"/>
        </w:rPr>
        <w:t>f</w:t>
      </w:r>
      <w:r w:rsidRPr="00637F69">
        <w:rPr>
          <w:i/>
          <w:iCs/>
          <w:color w:val="2F5496" w:themeColor="accent1" w:themeShade="BF"/>
        </w:rPr>
        <w:t xml:space="preserve"> the year 2019” and should be effective from the date published at the official Gazette.</w:t>
      </w:r>
    </w:p>
    <w:p w14:paraId="20090A17" w14:textId="77777777" w:rsidR="008C745A" w:rsidRPr="00637F69" w:rsidRDefault="008C745A" w:rsidP="008C745A">
      <w:pPr>
        <w:rPr>
          <w:i/>
          <w:iCs/>
          <w:color w:val="2F5496" w:themeColor="accent1" w:themeShade="BF"/>
        </w:rPr>
      </w:pPr>
      <w:r w:rsidRPr="00637F69">
        <w:rPr>
          <w:i/>
          <w:iCs/>
          <w:color w:val="2F5496" w:themeColor="accent1" w:themeShade="BF"/>
        </w:rPr>
        <w:t xml:space="preserve"> Article (2):</w:t>
      </w:r>
    </w:p>
    <w:p w14:paraId="15D4E6C8" w14:textId="77777777" w:rsidR="008C745A" w:rsidRPr="00637F69" w:rsidRDefault="008C745A" w:rsidP="008C745A">
      <w:pPr>
        <w:rPr>
          <w:i/>
          <w:iCs/>
          <w:color w:val="2F5496" w:themeColor="accent1" w:themeShade="BF"/>
        </w:rPr>
      </w:pPr>
      <w:r w:rsidRPr="00637F69">
        <w:rPr>
          <w:i/>
          <w:iCs/>
          <w:color w:val="2F5496" w:themeColor="accent1" w:themeShade="BF"/>
        </w:rPr>
        <w:t>The employer shall pay the amount of 400 JOD for the issuance/renewal of annual work permits (whether it issued for the whole/part of the year) in all economic sectors except the following sectors:</w:t>
      </w:r>
    </w:p>
    <w:p w14:paraId="23A649A5" w14:textId="77777777" w:rsidR="008C745A" w:rsidRPr="00637F69" w:rsidRDefault="008C745A" w:rsidP="008C745A">
      <w:pPr>
        <w:pStyle w:val="ListParagraph"/>
        <w:numPr>
          <w:ilvl w:val="0"/>
          <w:numId w:val="44"/>
        </w:numPr>
        <w:rPr>
          <w:i/>
          <w:iCs/>
          <w:color w:val="2F5496" w:themeColor="accent1" w:themeShade="BF"/>
        </w:rPr>
      </w:pPr>
      <w:r w:rsidRPr="00637F69">
        <w:rPr>
          <w:i/>
          <w:iCs/>
          <w:color w:val="2F5496" w:themeColor="accent1" w:themeShade="BF"/>
        </w:rPr>
        <w:t xml:space="preserve">For the workers at the garment companies registered at the Investment Commission at the QIZ, </w:t>
      </w:r>
      <w:bookmarkStart w:id="0" w:name="_Hlk61868054"/>
      <w:r w:rsidRPr="00637F69">
        <w:rPr>
          <w:i/>
          <w:iCs/>
          <w:color w:val="2F5496" w:themeColor="accent1" w:themeShade="BF"/>
        </w:rPr>
        <w:t>the amount of 175 JOD shall be paid for work permit issuance.</w:t>
      </w:r>
      <w:bookmarkEnd w:id="0"/>
    </w:p>
    <w:p w14:paraId="3D640141" w14:textId="2B352085" w:rsidR="008C745A" w:rsidRPr="00637F69" w:rsidRDefault="008C745A" w:rsidP="008C745A">
      <w:pPr>
        <w:pStyle w:val="ListParagraph"/>
        <w:numPr>
          <w:ilvl w:val="0"/>
          <w:numId w:val="44"/>
        </w:numPr>
        <w:rPr>
          <w:i/>
          <w:iCs/>
          <w:color w:val="2F5496" w:themeColor="accent1" w:themeShade="BF"/>
        </w:rPr>
      </w:pPr>
      <w:r w:rsidRPr="00637F69">
        <w:rPr>
          <w:i/>
          <w:iCs/>
          <w:color w:val="2F5496" w:themeColor="accent1" w:themeShade="BF"/>
        </w:rPr>
        <w:lastRenderedPageBreak/>
        <w:t>For domestic workers, (if they are the second employee), the amount of 900 JOD shall be paid for work permit issuance.</w:t>
      </w:r>
    </w:p>
    <w:p w14:paraId="4090EAF0" w14:textId="77777777" w:rsidR="008C745A" w:rsidRPr="00637F69" w:rsidRDefault="008C745A" w:rsidP="008C745A">
      <w:pPr>
        <w:pStyle w:val="ListParagraph"/>
        <w:numPr>
          <w:ilvl w:val="0"/>
          <w:numId w:val="44"/>
        </w:numPr>
        <w:rPr>
          <w:i/>
          <w:iCs/>
          <w:color w:val="2F5496" w:themeColor="accent1" w:themeShade="BF"/>
        </w:rPr>
      </w:pPr>
      <w:r w:rsidRPr="00637F69">
        <w:rPr>
          <w:i/>
          <w:iCs/>
          <w:color w:val="2F5496" w:themeColor="accent1" w:themeShade="BF"/>
        </w:rPr>
        <w:t>The amount of 1000 JOD shall be paid for work permit issuance for workers at the following sectors:</w:t>
      </w:r>
    </w:p>
    <w:p w14:paraId="1291C83D" w14:textId="77777777" w:rsidR="008C745A" w:rsidRPr="00637F69" w:rsidRDefault="008C745A" w:rsidP="008C745A">
      <w:pPr>
        <w:pStyle w:val="ListParagraph"/>
        <w:numPr>
          <w:ilvl w:val="0"/>
          <w:numId w:val="45"/>
        </w:numPr>
        <w:rPr>
          <w:i/>
          <w:iCs/>
          <w:color w:val="2F5496" w:themeColor="accent1" w:themeShade="BF"/>
        </w:rPr>
      </w:pPr>
      <w:r w:rsidRPr="00637F69">
        <w:rPr>
          <w:i/>
          <w:iCs/>
          <w:color w:val="2F5496" w:themeColor="accent1" w:themeShade="BF"/>
        </w:rPr>
        <w:t>Licensed Massage centers.</w:t>
      </w:r>
    </w:p>
    <w:p w14:paraId="7DBB97D6" w14:textId="77777777" w:rsidR="008C745A" w:rsidRPr="00637F69" w:rsidRDefault="008C745A" w:rsidP="008C745A">
      <w:pPr>
        <w:pStyle w:val="ListParagraph"/>
        <w:numPr>
          <w:ilvl w:val="0"/>
          <w:numId w:val="45"/>
        </w:numPr>
        <w:rPr>
          <w:i/>
          <w:iCs/>
          <w:color w:val="2F5496" w:themeColor="accent1" w:themeShade="BF"/>
        </w:rPr>
      </w:pPr>
      <w:r w:rsidRPr="00637F69">
        <w:rPr>
          <w:i/>
          <w:iCs/>
          <w:color w:val="2F5496" w:themeColor="accent1" w:themeShade="BF"/>
        </w:rPr>
        <w:t>Pubs, Bars.</w:t>
      </w:r>
    </w:p>
    <w:p w14:paraId="20BCD81E" w14:textId="7D766D25" w:rsidR="008C745A" w:rsidRPr="00637F69" w:rsidRDefault="008C745A" w:rsidP="008C745A">
      <w:pPr>
        <w:pStyle w:val="ListParagraph"/>
        <w:numPr>
          <w:ilvl w:val="0"/>
          <w:numId w:val="44"/>
        </w:numPr>
        <w:rPr>
          <w:i/>
          <w:iCs/>
          <w:color w:val="2F5496" w:themeColor="accent1" w:themeShade="BF"/>
        </w:rPr>
      </w:pPr>
      <w:r w:rsidRPr="00637F69">
        <w:rPr>
          <w:i/>
          <w:iCs/>
          <w:color w:val="2F5496" w:themeColor="accent1" w:themeShade="BF"/>
        </w:rPr>
        <w:t>For workers who applied for special skilled work permits, the amount of 2400 JOD shall be paid for work permit issuance.</w:t>
      </w:r>
    </w:p>
    <w:p w14:paraId="07BBB59E" w14:textId="77777777" w:rsidR="008C745A" w:rsidRPr="00637F69" w:rsidRDefault="008C745A" w:rsidP="008C745A">
      <w:pPr>
        <w:pStyle w:val="ListParagraph"/>
        <w:numPr>
          <w:ilvl w:val="0"/>
          <w:numId w:val="44"/>
        </w:numPr>
        <w:rPr>
          <w:i/>
          <w:iCs/>
          <w:color w:val="2F5496" w:themeColor="accent1" w:themeShade="BF"/>
        </w:rPr>
      </w:pPr>
      <w:r w:rsidRPr="00637F69">
        <w:rPr>
          <w:i/>
          <w:iCs/>
          <w:color w:val="2F5496" w:themeColor="accent1" w:themeShade="BF"/>
        </w:rPr>
        <w:t>For daily workers who are willing to issue a flexible work permits at the agriculture sector, 1400 JOD shall be paid for work permit issuance.</w:t>
      </w:r>
    </w:p>
    <w:p w14:paraId="47332326" w14:textId="77777777" w:rsidR="008C745A" w:rsidRPr="00637F69" w:rsidRDefault="008C745A" w:rsidP="008C745A">
      <w:pPr>
        <w:pStyle w:val="ListParagraph"/>
        <w:numPr>
          <w:ilvl w:val="0"/>
          <w:numId w:val="44"/>
        </w:numPr>
        <w:rPr>
          <w:i/>
          <w:iCs/>
          <w:color w:val="2F5496" w:themeColor="accent1" w:themeShade="BF"/>
        </w:rPr>
      </w:pPr>
      <w:r w:rsidRPr="00637F69">
        <w:rPr>
          <w:i/>
          <w:iCs/>
          <w:color w:val="2F5496" w:themeColor="accent1" w:themeShade="BF"/>
        </w:rPr>
        <w:t>For daily workers who are willing to issue a flexible work permits at the construction, loading downloading sectors, 1900 JOD shall be paid for work permit issuance.</w:t>
      </w:r>
    </w:p>
    <w:p w14:paraId="0FD83DDA" w14:textId="77777777" w:rsidR="008C745A" w:rsidRPr="00637F69" w:rsidRDefault="008C745A" w:rsidP="008C745A">
      <w:pPr>
        <w:ind w:left="360"/>
        <w:rPr>
          <w:color w:val="2F5496" w:themeColor="accent1" w:themeShade="BF"/>
        </w:rPr>
      </w:pPr>
    </w:p>
    <w:p w14:paraId="75C98DE3" w14:textId="77777777" w:rsidR="008C745A" w:rsidRPr="00637F69" w:rsidRDefault="008C745A" w:rsidP="008C745A">
      <w:pPr>
        <w:rPr>
          <w:b/>
          <w:bCs/>
          <w:color w:val="2F5496" w:themeColor="accent1" w:themeShade="BF"/>
          <w:u w:val="single"/>
        </w:rPr>
      </w:pPr>
      <w:r w:rsidRPr="00637F69">
        <w:rPr>
          <w:b/>
          <w:bCs/>
          <w:color w:val="2F5496" w:themeColor="accent1" w:themeShade="BF"/>
          <w:highlight w:val="lightGray"/>
          <w:u w:val="single"/>
        </w:rPr>
        <w:t>Second:</w:t>
      </w:r>
      <w:r w:rsidRPr="00637F69">
        <w:rPr>
          <w:b/>
          <w:bCs/>
          <w:color w:val="2F5496" w:themeColor="accent1" w:themeShade="BF"/>
          <w:u w:val="single"/>
        </w:rPr>
        <w:t xml:space="preserve"> </w:t>
      </w:r>
    </w:p>
    <w:p w14:paraId="5055386C" w14:textId="77777777" w:rsidR="008C745A" w:rsidRPr="00637F69" w:rsidRDefault="008C745A" w:rsidP="008C745A">
      <w:pPr>
        <w:rPr>
          <w:color w:val="2F5496" w:themeColor="accent1" w:themeShade="BF"/>
          <w:u w:val="single"/>
        </w:rPr>
      </w:pPr>
    </w:p>
    <w:tbl>
      <w:tblPr>
        <w:tblStyle w:val="TableGrid"/>
        <w:tblW w:w="0" w:type="auto"/>
        <w:tblLook w:val="04A0" w:firstRow="1" w:lastRow="0" w:firstColumn="1" w:lastColumn="0" w:noHBand="0" w:noVBand="1"/>
      </w:tblPr>
      <w:tblGrid>
        <w:gridCol w:w="4675"/>
        <w:gridCol w:w="4675"/>
      </w:tblGrid>
      <w:tr w:rsidR="00637F69" w:rsidRPr="00637F69" w14:paraId="5F5E83A3" w14:textId="77777777" w:rsidTr="00650D10">
        <w:tc>
          <w:tcPr>
            <w:tcW w:w="4675" w:type="dxa"/>
          </w:tcPr>
          <w:p w14:paraId="706263EB" w14:textId="77777777" w:rsidR="008C745A" w:rsidRPr="00637F69" w:rsidRDefault="008C745A" w:rsidP="00650D10">
            <w:pPr>
              <w:rPr>
                <w:i/>
                <w:iCs/>
                <w:color w:val="2F5496" w:themeColor="accent1" w:themeShade="BF"/>
              </w:rPr>
            </w:pPr>
            <w:r w:rsidRPr="00637F69">
              <w:rPr>
                <w:i/>
                <w:iCs/>
                <w:color w:val="2F5496" w:themeColor="accent1" w:themeShade="BF"/>
              </w:rPr>
              <w:t>2020</w:t>
            </w:r>
          </w:p>
        </w:tc>
        <w:tc>
          <w:tcPr>
            <w:tcW w:w="4675" w:type="dxa"/>
          </w:tcPr>
          <w:p w14:paraId="09A022AA" w14:textId="77777777" w:rsidR="008C745A" w:rsidRPr="00637F69" w:rsidRDefault="008C745A" w:rsidP="00650D10">
            <w:pPr>
              <w:rPr>
                <w:i/>
                <w:iCs/>
                <w:color w:val="2F5496" w:themeColor="accent1" w:themeShade="BF"/>
              </w:rPr>
            </w:pPr>
            <w:r w:rsidRPr="00637F69">
              <w:rPr>
                <w:i/>
                <w:iCs/>
                <w:color w:val="2F5496" w:themeColor="accent1" w:themeShade="BF"/>
              </w:rPr>
              <w:t>2021</w:t>
            </w:r>
          </w:p>
        </w:tc>
      </w:tr>
      <w:tr w:rsidR="00637F69" w:rsidRPr="00637F69" w14:paraId="26CAAC0B" w14:textId="77777777" w:rsidTr="00650D10">
        <w:tc>
          <w:tcPr>
            <w:tcW w:w="4675" w:type="dxa"/>
          </w:tcPr>
          <w:p w14:paraId="47ECE0AD" w14:textId="09694232" w:rsidR="008C745A" w:rsidRPr="00637F69" w:rsidRDefault="008C745A" w:rsidP="00650D10">
            <w:pPr>
              <w:rPr>
                <w:i/>
                <w:iCs/>
                <w:color w:val="2F5496" w:themeColor="accent1" w:themeShade="BF"/>
              </w:rPr>
            </w:pPr>
            <w:r w:rsidRPr="00637F69">
              <w:rPr>
                <w:i/>
                <w:iCs/>
                <w:color w:val="2F5496" w:themeColor="accent1" w:themeShade="BF"/>
              </w:rPr>
              <w:t>“The additional fees shall be paid for work permit issuance stipulated at article (3) from regulation of the work permit fees for non-Jordanians No. (67) year 2014.” *</w:t>
            </w:r>
          </w:p>
          <w:p w14:paraId="65742C3B" w14:textId="77777777" w:rsidR="008C745A" w:rsidRPr="00637F69" w:rsidRDefault="008C745A" w:rsidP="00650D10">
            <w:pPr>
              <w:rPr>
                <w:i/>
                <w:iCs/>
                <w:color w:val="2F5496" w:themeColor="accent1" w:themeShade="BF"/>
              </w:rPr>
            </w:pPr>
          </w:p>
        </w:tc>
        <w:tc>
          <w:tcPr>
            <w:tcW w:w="4675" w:type="dxa"/>
          </w:tcPr>
          <w:p w14:paraId="34D1B60A" w14:textId="77777777" w:rsidR="008C745A" w:rsidRPr="00637F69" w:rsidRDefault="008C745A" w:rsidP="00650D10">
            <w:pPr>
              <w:rPr>
                <w:i/>
                <w:iCs/>
                <w:color w:val="2F5496" w:themeColor="accent1" w:themeShade="BF"/>
              </w:rPr>
            </w:pPr>
            <w:r w:rsidRPr="00637F69">
              <w:rPr>
                <w:i/>
                <w:iCs/>
                <w:color w:val="2F5496" w:themeColor="accent1" w:themeShade="BF"/>
              </w:rPr>
              <w:t xml:space="preserve">“The additional fees shall be paid for work permit issuance stipulated at article (3) from regulation of the work permit fees for non-Jordanians No. (142) year 2019.” </w:t>
            </w:r>
          </w:p>
          <w:p w14:paraId="6C4178F8" w14:textId="77777777" w:rsidR="008C745A" w:rsidRPr="00637F69" w:rsidRDefault="008C745A" w:rsidP="00650D10">
            <w:pPr>
              <w:rPr>
                <w:i/>
                <w:iCs/>
                <w:color w:val="2F5496" w:themeColor="accent1" w:themeShade="BF"/>
              </w:rPr>
            </w:pPr>
          </w:p>
        </w:tc>
      </w:tr>
    </w:tbl>
    <w:p w14:paraId="4836F5D7" w14:textId="77777777" w:rsidR="008C745A" w:rsidRPr="00637F69" w:rsidRDefault="008C745A" w:rsidP="008C745A">
      <w:pPr>
        <w:rPr>
          <w:i/>
          <w:iCs/>
          <w:color w:val="2F5496" w:themeColor="accent1" w:themeShade="BF"/>
        </w:rPr>
      </w:pPr>
    </w:p>
    <w:p w14:paraId="7F821CC2" w14:textId="77777777" w:rsidR="008C745A" w:rsidRPr="00637F69" w:rsidRDefault="008C745A" w:rsidP="008C745A">
      <w:pPr>
        <w:rPr>
          <w:color w:val="2F5496" w:themeColor="accent1" w:themeShade="BF"/>
        </w:rPr>
      </w:pPr>
    </w:p>
    <w:p w14:paraId="3D962EA5" w14:textId="77777777" w:rsidR="008C745A" w:rsidRPr="00637F69" w:rsidRDefault="008C745A" w:rsidP="008C745A">
      <w:pPr>
        <w:ind w:left="360"/>
        <w:rPr>
          <w:i/>
          <w:iCs/>
          <w:color w:val="2F5496" w:themeColor="accent1" w:themeShade="BF"/>
        </w:rPr>
      </w:pPr>
      <w:r w:rsidRPr="00637F69">
        <w:rPr>
          <w:i/>
          <w:iCs/>
          <w:color w:val="2F5496" w:themeColor="accent1" w:themeShade="BF"/>
        </w:rPr>
        <w:t>Article (3):</w:t>
      </w:r>
    </w:p>
    <w:p w14:paraId="458846A2" w14:textId="77777777" w:rsidR="008C745A" w:rsidRPr="00637F69" w:rsidRDefault="008C745A" w:rsidP="008C745A">
      <w:pPr>
        <w:pStyle w:val="ListParagraph"/>
        <w:numPr>
          <w:ilvl w:val="0"/>
          <w:numId w:val="46"/>
        </w:numPr>
        <w:rPr>
          <w:i/>
          <w:iCs/>
          <w:color w:val="2F5496" w:themeColor="accent1" w:themeShade="BF"/>
        </w:rPr>
      </w:pPr>
      <w:r w:rsidRPr="00637F69">
        <w:rPr>
          <w:i/>
          <w:iCs/>
          <w:color w:val="2F5496" w:themeColor="accent1" w:themeShade="BF"/>
        </w:rPr>
        <w:t>The employer who recruit any of the workers at the above-mentioned sectors, shall pay additional fees (amount of 100 JOD) on every issuance/renewal of any work permit.</w:t>
      </w:r>
    </w:p>
    <w:p w14:paraId="180A94C3" w14:textId="77777777" w:rsidR="008C745A" w:rsidRPr="00637F69" w:rsidRDefault="008C745A" w:rsidP="008C745A">
      <w:pPr>
        <w:pStyle w:val="ListParagraph"/>
        <w:numPr>
          <w:ilvl w:val="0"/>
          <w:numId w:val="46"/>
        </w:numPr>
        <w:rPr>
          <w:i/>
          <w:iCs/>
          <w:color w:val="2F5496" w:themeColor="accent1" w:themeShade="BF"/>
        </w:rPr>
      </w:pPr>
      <w:r w:rsidRPr="00637F69">
        <w:rPr>
          <w:i/>
          <w:iCs/>
          <w:color w:val="2F5496" w:themeColor="accent1" w:themeShade="BF"/>
        </w:rPr>
        <w:t>The amount mentioned at clause (A) from this article should be transferred to the (</w:t>
      </w:r>
      <w:bookmarkStart w:id="1" w:name="_Hlk61941270"/>
      <w:r w:rsidRPr="00637F69">
        <w:rPr>
          <w:i/>
          <w:iCs/>
          <w:color w:val="2F5496" w:themeColor="accent1" w:themeShade="BF"/>
        </w:rPr>
        <w:t>Technical and Vocational Skills Development Commission</w:t>
      </w:r>
      <w:bookmarkEnd w:id="1"/>
      <w:r w:rsidRPr="00637F69">
        <w:rPr>
          <w:i/>
          <w:iCs/>
          <w:color w:val="2F5496" w:themeColor="accent1" w:themeShade="BF"/>
        </w:rPr>
        <w:t>).</w:t>
      </w:r>
    </w:p>
    <w:p w14:paraId="68F9C37F" w14:textId="7A960191" w:rsidR="008C745A" w:rsidRPr="00637F69" w:rsidRDefault="008C745A" w:rsidP="008C745A">
      <w:pPr>
        <w:rPr>
          <w:color w:val="2F5496" w:themeColor="accent1" w:themeShade="BF"/>
        </w:rPr>
      </w:pPr>
      <w:r w:rsidRPr="00637F69">
        <w:rPr>
          <w:color w:val="2F5496" w:themeColor="accent1" w:themeShade="BF"/>
        </w:rPr>
        <w:t>*the amount mentioned at the announcement of 2020, used to be transferred to the Technical and Vocational and Training Fund by the old regulations “</w:t>
      </w:r>
      <w:r w:rsidRPr="00637F69">
        <w:rPr>
          <w:i/>
          <w:iCs/>
          <w:color w:val="2F5496" w:themeColor="accent1" w:themeShade="BF"/>
        </w:rPr>
        <w:t xml:space="preserve">regulation of the work permit fees for non-Jordanians No. (67) year 2014.” </w:t>
      </w:r>
      <w:r w:rsidRPr="00637F69">
        <w:rPr>
          <w:color w:val="2F5496" w:themeColor="accent1" w:themeShade="BF"/>
        </w:rPr>
        <w:t xml:space="preserve"> </w:t>
      </w:r>
    </w:p>
    <w:p w14:paraId="50CDC3FD" w14:textId="77777777" w:rsidR="008C745A" w:rsidRPr="00637F69" w:rsidRDefault="008C745A" w:rsidP="008C745A">
      <w:pPr>
        <w:rPr>
          <w:color w:val="2F5496" w:themeColor="accent1" w:themeShade="BF"/>
        </w:rPr>
      </w:pPr>
      <w:r w:rsidRPr="00637F69">
        <w:rPr>
          <w:color w:val="2F5496" w:themeColor="accent1" w:themeShade="BF"/>
        </w:rPr>
        <w:t>In the current announcement the mentioned fees will be transferred to the “</w:t>
      </w:r>
      <w:r w:rsidRPr="00637F69">
        <w:rPr>
          <w:i/>
          <w:iCs/>
          <w:color w:val="2F5496" w:themeColor="accent1" w:themeShade="BF"/>
        </w:rPr>
        <w:t>Technical and Vocational Skills Development Commission”</w:t>
      </w:r>
      <w:r w:rsidRPr="00637F69">
        <w:rPr>
          <w:color w:val="2F5496" w:themeColor="accent1" w:themeShade="BF"/>
        </w:rPr>
        <w:t xml:space="preserve"> established in 2019.</w:t>
      </w:r>
    </w:p>
    <w:p w14:paraId="00E4AD7C" w14:textId="77777777" w:rsidR="008C745A" w:rsidRPr="00637F69" w:rsidRDefault="008C745A" w:rsidP="008C745A">
      <w:pPr>
        <w:rPr>
          <w:color w:val="2F5496" w:themeColor="accent1" w:themeShade="BF"/>
        </w:rPr>
      </w:pPr>
    </w:p>
    <w:p w14:paraId="5FE02917" w14:textId="77777777" w:rsidR="008C745A" w:rsidRPr="00637F69" w:rsidRDefault="008C745A" w:rsidP="008C745A">
      <w:pPr>
        <w:rPr>
          <w:color w:val="2F5496" w:themeColor="accent1" w:themeShade="BF"/>
        </w:rPr>
      </w:pPr>
    </w:p>
    <w:p w14:paraId="3595364B" w14:textId="77777777" w:rsidR="008C745A" w:rsidRPr="00637F69" w:rsidRDefault="008C745A" w:rsidP="008C745A">
      <w:pPr>
        <w:rPr>
          <w:color w:val="2F5496" w:themeColor="accent1" w:themeShade="BF"/>
        </w:rPr>
      </w:pPr>
    </w:p>
    <w:p w14:paraId="38509F82" w14:textId="77777777" w:rsidR="008C745A" w:rsidRPr="00637F69" w:rsidRDefault="008C745A" w:rsidP="008C745A">
      <w:pPr>
        <w:rPr>
          <w:color w:val="2F5496" w:themeColor="accent1" w:themeShade="BF"/>
        </w:rPr>
      </w:pPr>
    </w:p>
    <w:p w14:paraId="080403EA" w14:textId="77777777" w:rsidR="008C745A" w:rsidRPr="00637F69" w:rsidRDefault="008C745A" w:rsidP="008C745A">
      <w:pPr>
        <w:rPr>
          <w:color w:val="2F5496" w:themeColor="accent1" w:themeShade="BF"/>
        </w:rPr>
      </w:pPr>
    </w:p>
    <w:p w14:paraId="1D16D8A4" w14:textId="77777777" w:rsidR="008C745A" w:rsidRPr="00637F69" w:rsidRDefault="008C745A" w:rsidP="008C745A">
      <w:pPr>
        <w:rPr>
          <w:b/>
          <w:bCs/>
          <w:color w:val="2F5496" w:themeColor="accent1" w:themeShade="BF"/>
          <w:u w:val="single"/>
        </w:rPr>
      </w:pPr>
      <w:r w:rsidRPr="00637F69">
        <w:rPr>
          <w:b/>
          <w:bCs/>
          <w:color w:val="2F5496" w:themeColor="accent1" w:themeShade="BF"/>
          <w:highlight w:val="lightGray"/>
          <w:u w:val="single"/>
        </w:rPr>
        <w:lastRenderedPageBreak/>
        <w:t>Third:</w:t>
      </w:r>
    </w:p>
    <w:p w14:paraId="1081BAA3" w14:textId="77777777" w:rsidR="008C745A" w:rsidRPr="00637F69" w:rsidRDefault="008C745A" w:rsidP="008C745A">
      <w:pPr>
        <w:ind w:left="360"/>
        <w:rPr>
          <w:color w:val="2F5496" w:themeColor="accent1" w:themeShade="BF"/>
        </w:rPr>
      </w:pPr>
      <w:r w:rsidRPr="00637F69">
        <w:rPr>
          <w:color w:val="2F5496" w:themeColor="accent1" w:themeShade="BF"/>
        </w:rPr>
        <w:t>The third point regarding the fines specified at article (6) from the regulation in case of the employer’s failure in renewing the work permit.</w:t>
      </w:r>
    </w:p>
    <w:p w14:paraId="5BE1B563" w14:textId="77777777" w:rsidR="008C745A" w:rsidRPr="00637F69" w:rsidRDefault="008C745A" w:rsidP="008C745A">
      <w:pPr>
        <w:ind w:left="360"/>
        <w:rPr>
          <w:i/>
          <w:iCs/>
          <w:color w:val="2F5496" w:themeColor="accent1" w:themeShade="BF"/>
        </w:rPr>
      </w:pPr>
      <w:r w:rsidRPr="00637F69">
        <w:rPr>
          <w:i/>
          <w:iCs/>
          <w:color w:val="2F5496" w:themeColor="accent1" w:themeShade="BF"/>
        </w:rPr>
        <w:t>Article (6):</w:t>
      </w:r>
    </w:p>
    <w:p w14:paraId="7CF87D50" w14:textId="77777777" w:rsidR="008C745A" w:rsidRPr="00637F69" w:rsidRDefault="008C745A" w:rsidP="008C745A">
      <w:pPr>
        <w:ind w:left="360"/>
        <w:rPr>
          <w:i/>
          <w:iCs/>
          <w:color w:val="2F5496" w:themeColor="accent1" w:themeShade="BF"/>
        </w:rPr>
      </w:pPr>
      <w:r w:rsidRPr="00637F69">
        <w:rPr>
          <w:i/>
          <w:iCs/>
          <w:color w:val="2F5496" w:themeColor="accent1" w:themeShade="BF"/>
        </w:rPr>
        <w:t>In case the employer failed in renewing the work permit for the worker within 90 days from the expiry date specified at the work permit, a fine equal to 50% from the full issuance fees should be paid by the employer as a delay fine.</w:t>
      </w:r>
    </w:p>
    <w:p w14:paraId="63EC6AE9" w14:textId="77777777" w:rsidR="008C745A" w:rsidRPr="00637F69" w:rsidRDefault="008C745A" w:rsidP="008C745A">
      <w:pPr>
        <w:ind w:left="360"/>
        <w:rPr>
          <w:color w:val="2F5496" w:themeColor="accent1" w:themeShade="BF"/>
        </w:rPr>
      </w:pPr>
    </w:p>
    <w:p w14:paraId="7FCE486E" w14:textId="77777777" w:rsidR="008C745A" w:rsidRPr="00637F69" w:rsidRDefault="008C745A" w:rsidP="008C745A">
      <w:pPr>
        <w:ind w:left="360"/>
        <w:rPr>
          <w:color w:val="2F5496" w:themeColor="accent1" w:themeShade="BF"/>
        </w:rPr>
      </w:pPr>
    </w:p>
    <w:p w14:paraId="27BD915C" w14:textId="60FB5159" w:rsidR="008C745A" w:rsidRPr="00637F69" w:rsidRDefault="008C745A" w:rsidP="008C745A">
      <w:pPr>
        <w:tabs>
          <w:tab w:val="left" w:pos="7920"/>
        </w:tabs>
        <w:ind w:left="-90"/>
        <w:rPr>
          <w:b/>
          <w:bCs/>
          <w:color w:val="2F5496" w:themeColor="accent1" w:themeShade="BF"/>
          <w:u w:val="single"/>
        </w:rPr>
      </w:pPr>
      <w:r w:rsidRPr="00637F69">
        <w:rPr>
          <w:b/>
          <w:bCs/>
          <w:color w:val="2F5496" w:themeColor="accent1" w:themeShade="BF"/>
          <w:highlight w:val="lightGray"/>
          <w:u w:val="single"/>
        </w:rPr>
        <w:t>Fourth:</w:t>
      </w:r>
    </w:p>
    <w:p w14:paraId="3A39A14B" w14:textId="409C92A6" w:rsidR="008C745A" w:rsidRPr="00637F69" w:rsidRDefault="008C745A" w:rsidP="00637F69">
      <w:pPr>
        <w:rPr>
          <w:color w:val="2F5496" w:themeColor="accent1" w:themeShade="BF"/>
        </w:rPr>
      </w:pPr>
      <w:r w:rsidRPr="00637F69">
        <w:rPr>
          <w:color w:val="2F5496" w:themeColor="accent1" w:themeShade="BF"/>
        </w:rPr>
        <w:t>This point related to the unpaid fees of work permit issuance for previous years, was more clarified by using the term “retroactively”. In order to emphasize that all pervious fees whether its issuance fees, or any other additional fees shall be waived by this announcement.</w:t>
      </w:r>
    </w:p>
    <w:p w14:paraId="4FED9D87" w14:textId="246CA69D" w:rsidR="008C745A" w:rsidRPr="00637F69" w:rsidRDefault="008C745A" w:rsidP="008C745A">
      <w:pPr>
        <w:rPr>
          <w:b/>
          <w:bCs/>
          <w:color w:val="2F5496" w:themeColor="accent1" w:themeShade="BF"/>
          <w:u w:val="single"/>
        </w:rPr>
      </w:pPr>
      <w:r w:rsidRPr="00637F69">
        <w:rPr>
          <w:b/>
          <w:bCs/>
          <w:color w:val="2F5496" w:themeColor="accent1" w:themeShade="BF"/>
          <w:highlight w:val="lightGray"/>
          <w:u w:val="single"/>
        </w:rPr>
        <w:t>Fifth:</w:t>
      </w:r>
    </w:p>
    <w:p w14:paraId="69C1115E" w14:textId="26BCA5BC" w:rsidR="008C745A" w:rsidRPr="00637F69" w:rsidRDefault="008C745A" w:rsidP="008C745A">
      <w:pPr>
        <w:rPr>
          <w:color w:val="2F5496" w:themeColor="accent1" w:themeShade="BF"/>
          <w:u w:val="single"/>
        </w:rPr>
      </w:pPr>
      <w:r w:rsidRPr="00637F69">
        <w:rPr>
          <w:color w:val="2F5496" w:themeColor="accent1" w:themeShade="BF"/>
        </w:rPr>
        <w:t>The fees of revenue stamps (same).</w:t>
      </w:r>
    </w:p>
    <w:p w14:paraId="2EC42E5F" w14:textId="77777777" w:rsidR="008C745A" w:rsidRPr="00637F69" w:rsidRDefault="008C745A" w:rsidP="008C745A">
      <w:pPr>
        <w:rPr>
          <w:b/>
          <w:bCs/>
          <w:color w:val="2F5496" w:themeColor="accent1" w:themeShade="BF"/>
          <w:u w:val="single"/>
        </w:rPr>
      </w:pPr>
      <w:r w:rsidRPr="00637F69">
        <w:rPr>
          <w:b/>
          <w:bCs/>
          <w:color w:val="2F5496" w:themeColor="accent1" w:themeShade="BF"/>
          <w:highlight w:val="lightGray"/>
          <w:u w:val="single"/>
        </w:rPr>
        <w:t>Sixth:</w:t>
      </w:r>
    </w:p>
    <w:p w14:paraId="3733C994" w14:textId="77777777" w:rsidR="008C745A" w:rsidRPr="00637F69" w:rsidRDefault="008C745A" w:rsidP="008C745A">
      <w:pPr>
        <w:rPr>
          <w:color w:val="2F5496" w:themeColor="accent1" w:themeShade="BF"/>
          <w:u w:val="single"/>
        </w:rPr>
      </w:pPr>
    </w:p>
    <w:tbl>
      <w:tblPr>
        <w:tblStyle w:val="TableGrid"/>
        <w:tblW w:w="0" w:type="auto"/>
        <w:tblLook w:val="04A0" w:firstRow="1" w:lastRow="0" w:firstColumn="1" w:lastColumn="0" w:noHBand="0" w:noVBand="1"/>
      </w:tblPr>
      <w:tblGrid>
        <w:gridCol w:w="4675"/>
        <w:gridCol w:w="4675"/>
      </w:tblGrid>
      <w:tr w:rsidR="00637F69" w:rsidRPr="00637F69" w14:paraId="0DFCF1DC" w14:textId="77777777" w:rsidTr="00650D10">
        <w:tc>
          <w:tcPr>
            <w:tcW w:w="4675" w:type="dxa"/>
          </w:tcPr>
          <w:p w14:paraId="58C90F27" w14:textId="77777777" w:rsidR="008C745A" w:rsidRPr="00637F69" w:rsidRDefault="008C745A" w:rsidP="00650D10">
            <w:pPr>
              <w:rPr>
                <w:color w:val="2F5496" w:themeColor="accent1" w:themeShade="BF"/>
              </w:rPr>
            </w:pPr>
            <w:r w:rsidRPr="00637F69">
              <w:rPr>
                <w:color w:val="2F5496" w:themeColor="accent1" w:themeShade="BF"/>
              </w:rPr>
              <w:t>2020</w:t>
            </w:r>
          </w:p>
        </w:tc>
        <w:tc>
          <w:tcPr>
            <w:tcW w:w="4675" w:type="dxa"/>
          </w:tcPr>
          <w:p w14:paraId="34572396" w14:textId="77777777" w:rsidR="008C745A" w:rsidRPr="00637F69" w:rsidRDefault="008C745A" w:rsidP="00650D10">
            <w:pPr>
              <w:rPr>
                <w:color w:val="2F5496" w:themeColor="accent1" w:themeShade="BF"/>
                <w:u w:val="single"/>
              </w:rPr>
            </w:pPr>
            <w:r w:rsidRPr="00637F69">
              <w:rPr>
                <w:color w:val="2F5496" w:themeColor="accent1" w:themeShade="BF"/>
                <w:u w:val="single"/>
              </w:rPr>
              <w:t>2021</w:t>
            </w:r>
          </w:p>
        </w:tc>
      </w:tr>
      <w:tr w:rsidR="00637F69" w:rsidRPr="00637F69" w14:paraId="1AFBB8A3" w14:textId="77777777" w:rsidTr="00650D10">
        <w:tc>
          <w:tcPr>
            <w:tcW w:w="4675" w:type="dxa"/>
          </w:tcPr>
          <w:p w14:paraId="3BD73986" w14:textId="77777777" w:rsidR="008C745A" w:rsidRPr="00637F69" w:rsidRDefault="008C745A" w:rsidP="00650D10">
            <w:pPr>
              <w:rPr>
                <w:i/>
                <w:iCs/>
                <w:color w:val="2F5496" w:themeColor="accent1" w:themeShade="BF"/>
              </w:rPr>
            </w:pPr>
            <w:r w:rsidRPr="00637F69">
              <w:rPr>
                <w:i/>
                <w:iCs/>
                <w:color w:val="2F5496" w:themeColor="accent1" w:themeShade="BF"/>
              </w:rPr>
              <w:t>“The medical exam certificate issued by MOH which is mandatory for issuing work permit.”</w:t>
            </w:r>
          </w:p>
        </w:tc>
        <w:tc>
          <w:tcPr>
            <w:tcW w:w="4675" w:type="dxa"/>
          </w:tcPr>
          <w:p w14:paraId="4AC690C9" w14:textId="77777777" w:rsidR="008C745A" w:rsidRPr="00637F69" w:rsidRDefault="008C745A" w:rsidP="00650D10">
            <w:pPr>
              <w:rPr>
                <w:i/>
                <w:iCs/>
                <w:color w:val="2F5496" w:themeColor="accent1" w:themeShade="BF"/>
                <w:u w:val="single"/>
              </w:rPr>
            </w:pPr>
            <w:r w:rsidRPr="00637F69">
              <w:rPr>
                <w:i/>
                <w:iCs/>
                <w:color w:val="2F5496" w:themeColor="accent1" w:themeShade="BF"/>
              </w:rPr>
              <w:t xml:space="preserve">“The fees of the medical exam for the purpose of work permit issuance. </w:t>
            </w:r>
            <w:r w:rsidRPr="00637F69">
              <w:rPr>
                <w:i/>
                <w:iCs/>
                <w:color w:val="2F5496" w:themeColor="accent1" w:themeShade="BF"/>
                <w:u w:val="single"/>
              </w:rPr>
              <w:t>It is obligatory to do the medical exam.”</w:t>
            </w:r>
          </w:p>
          <w:p w14:paraId="3EAD5752" w14:textId="77777777" w:rsidR="008C745A" w:rsidRPr="00637F69" w:rsidRDefault="008C745A" w:rsidP="00650D10">
            <w:pPr>
              <w:rPr>
                <w:color w:val="2F5496" w:themeColor="accent1" w:themeShade="BF"/>
                <w:u w:val="single"/>
              </w:rPr>
            </w:pPr>
          </w:p>
        </w:tc>
      </w:tr>
    </w:tbl>
    <w:p w14:paraId="45E70282" w14:textId="77777777" w:rsidR="008C745A" w:rsidRPr="00637F69" w:rsidRDefault="008C745A" w:rsidP="008C745A">
      <w:pPr>
        <w:rPr>
          <w:color w:val="2F5496" w:themeColor="accent1" w:themeShade="BF"/>
          <w:u w:val="single"/>
        </w:rPr>
      </w:pPr>
    </w:p>
    <w:p w14:paraId="4A57FF08" w14:textId="77777777" w:rsidR="008C745A" w:rsidRPr="00637F69" w:rsidRDefault="008C745A" w:rsidP="008C745A">
      <w:pPr>
        <w:spacing w:after="0" w:line="240" w:lineRule="auto"/>
        <w:rPr>
          <w:color w:val="2F5496" w:themeColor="accent1" w:themeShade="BF"/>
        </w:rPr>
      </w:pPr>
      <w:r w:rsidRPr="00637F69">
        <w:rPr>
          <w:rFonts w:eastAsia="Times New Roman"/>
          <w:color w:val="2F5496" w:themeColor="accent1" w:themeShade="BF"/>
        </w:rPr>
        <w:t>Medical exemption is required now, not like previous years. However, the fees for this exam are waived.</w:t>
      </w:r>
    </w:p>
    <w:p w14:paraId="2CDFAC86" w14:textId="77777777" w:rsidR="008C745A" w:rsidRPr="00637F69" w:rsidRDefault="008C745A" w:rsidP="008C745A">
      <w:pPr>
        <w:pStyle w:val="ListParagraph"/>
        <w:spacing w:after="0" w:line="240" w:lineRule="auto"/>
        <w:ind w:left="0"/>
        <w:contextualSpacing w:val="0"/>
        <w:rPr>
          <w:color w:val="2F5496" w:themeColor="accent1" w:themeShade="BF"/>
        </w:rPr>
      </w:pPr>
      <w:r w:rsidRPr="00637F69">
        <w:rPr>
          <w:rFonts w:eastAsia="Times New Roman"/>
          <w:color w:val="2F5496" w:themeColor="accent1" w:themeShade="BF"/>
        </w:rPr>
        <w:t xml:space="preserve">We believe that focusing on Health Care during the pandemic is a positive point to be included in the framework of regularizing the </w:t>
      </w:r>
      <w:proofErr w:type="spellStart"/>
      <w:r w:rsidRPr="00637F69">
        <w:rPr>
          <w:rFonts w:eastAsia="Times New Roman"/>
          <w:color w:val="2F5496" w:themeColor="accent1" w:themeShade="BF"/>
        </w:rPr>
        <w:t>labour</w:t>
      </w:r>
      <w:proofErr w:type="spellEnd"/>
      <w:r w:rsidRPr="00637F69">
        <w:rPr>
          <w:rFonts w:eastAsia="Times New Roman"/>
          <w:color w:val="2F5496" w:themeColor="accent1" w:themeShade="BF"/>
        </w:rPr>
        <w:t xml:space="preserve"> market.</w:t>
      </w:r>
    </w:p>
    <w:p w14:paraId="1BEA699F" w14:textId="77777777" w:rsidR="008C745A" w:rsidRPr="00637F69" w:rsidRDefault="008C745A" w:rsidP="008C745A">
      <w:pPr>
        <w:rPr>
          <w:color w:val="2F5496" w:themeColor="accent1" w:themeShade="BF"/>
          <w:u w:val="single"/>
        </w:rPr>
      </w:pPr>
    </w:p>
    <w:p w14:paraId="0AE2C38B" w14:textId="7740A25C" w:rsidR="008C745A" w:rsidRPr="00637F69" w:rsidRDefault="008C745A" w:rsidP="008C745A">
      <w:pPr>
        <w:rPr>
          <w:b/>
          <w:bCs/>
          <w:color w:val="2F5496" w:themeColor="accent1" w:themeShade="BF"/>
          <w:u w:val="single"/>
        </w:rPr>
      </w:pPr>
      <w:r w:rsidRPr="00637F69">
        <w:rPr>
          <w:b/>
          <w:bCs/>
          <w:color w:val="2F5496" w:themeColor="accent1" w:themeShade="BF"/>
          <w:highlight w:val="lightGray"/>
          <w:u w:val="single"/>
        </w:rPr>
        <w:t>Seventh:</w:t>
      </w:r>
    </w:p>
    <w:p w14:paraId="3874699D" w14:textId="77777777" w:rsidR="008C745A" w:rsidRPr="00637F69" w:rsidRDefault="008C745A" w:rsidP="008C745A">
      <w:pPr>
        <w:rPr>
          <w:color w:val="2F5496" w:themeColor="accent1" w:themeShade="BF"/>
        </w:rPr>
      </w:pPr>
      <w:r w:rsidRPr="00637F69">
        <w:rPr>
          <w:color w:val="2F5496" w:themeColor="accent1" w:themeShade="BF"/>
        </w:rPr>
        <w:t xml:space="preserve">The announcement of 2020 mentioned that there are type of fees still </w:t>
      </w:r>
      <w:proofErr w:type="gramStart"/>
      <w:r w:rsidRPr="00637F69">
        <w:rPr>
          <w:color w:val="2F5496" w:themeColor="accent1" w:themeShade="BF"/>
        </w:rPr>
        <w:t>have to</w:t>
      </w:r>
      <w:proofErr w:type="gramEnd"/>
      <w:r w:rsidRPr="00637F69">
        <w:rPr>
          <w:color w:val="2F5496" w:themeColor="accent1" w:themeShade="BF"/>
        </w:rPr>
        <w:t xml:space="preserve"> be paid by the employer such as:</w:t>
      </w:r>
    </w:p>
    <w:p w14:paraId="650475C3" w14:textId="77777777" w:rsidR="008C745A" w:rsidRPr="00637F69" w:rsidRDefault="008C745A" w:rsidP="008C745A">
      <w:pPr>
        <w:rPr>
          <w:i/>
          <w:iCs/>
          <w:color w:val="2F5496" w:themeColor="accent1" w:themeShade="BF"/>
        </w:rPr>
      </w:pPr>
      <w:r w:rsidRPr="00637F69">
        <w:rPr>
          <w:i/>
          <w:iCs/>
          <w:color w:val="2F5496" w:themeColor="accent1" w:themeShade="BF"/>
        </w:rPr>
        <w:t xml:space="preserve">Auditing fees, certification fees (if applicable), authorization fees (if applicable), undertaking fees (if applicable).  </w:t>
      </w:r>
    </w:p>
    <w:p w14:paraId="7726AFD9" w14:textId="3F898E4C" w:rsidR="008C745A" w:rsidRPr="00637F69" w:rsidRDefault="008C745A" w:rsidP="008C745A">
      <w:pPr>
        <w:rPr>
          <w:color w:val="2F5496" w:themeColor="accent1" w:themeShade="BF"/>
          <w:rtl/>
        </w:rPr>
      </w:pPr>
      <w:r w:rsidRPr="00637F69">
        <w:rPr>
          <w:color w:val="2F5496" w:themeColor="accent1" w:themeShade="BF"/>
        </w:rPr>
        <w:t xml:space="preserve">Not mentioned at the announcement of 2021, but </w:t>
      </w:r>
      <w:r w:rsidR="00600ABF">
        <w:rPr>
          <w:color w:val="2F5496" w:themeColor="accent1" w:themeShade="BF"/>
        </w:rPr>
        <w:t>its</w:t>
      </w:r>
      <w:r w:rsidRPr="00637F69">
        <w:rPr>
          <w:color w:val="2F5496" w:themeColor="accent1" w:themeShade="BF"/>
        </w:rPr>
        <w:t xml:space="preserve"> still applicable.</w:t>
      </w:r>
    </w:p>
    <w:p w14:paraId="79325EB0" w14:textId="22351B42" w:rsidR="008C745A" w:rsidRPr="00637F69" w:rsidRDefault="008C745A" w:rsidP="008C745A">
      <w:pPr>
        <w:tabs>
          <w:tab w:val="left" w:pos="2004"/>
        </w:tabs>
        <w:rPr>
          <w:color w:val="2F5496" w:themeColor="accent1" w:themeShade="BF"/>
        </w:rPr>
      </w:pPr>
    </w:p>
    <w:sectPr w:rsidR="008C745A" w:rsidRPr="00637F69" w:rsidSect="002D39F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0512" w14:textId="77777777" w:rsidR="00791944" w:rsidRDefault="00791944" w:rsidP="000072CA">
      <w:pPr>
        <w:spacing w:after="0" w:line="240" w:lineRule="auto"/>
      </w:pPr>
      <w:r>
        <w:separator/>
      </w:r>
    </w:p>
  </w:endnote>
  <w:endnote w:type="continuationSeparator" w:id="0">
    <w:p w14:paraId="4E6398FD" w14:textId="77777777" w:rsidR="00791944" w:rsidRDefault="00791944" w:rsidP="0000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015947"/>
      <w:docPartObj>
        <w:docPartGallery w:val="Page Numbers (Bottom of Page)"/>
        <w:docPartUnique/>
      </w:docPartObj>
    </w:sdtPr>
    <w:sdtEndPr/>
    <w:sdtContent>
      <w:sdt>
        <w:sdtPr>
          <w:id w:val="-1705238520"/>
          <w:docPartObj>
            <w:docPartGallery w:val="Page Numbers (Top of Page)"/>
            <w:docPartUnique/>
          </w:docPartObj>
        </w:sdtPr>
        <w:sdtEndPr/>
        <w:sdtContent>
          <w:p w14:paraId="0697E895" w14:textId="1768E87B" w:rsidR="00637F69" w:rsidRDefault="00637F6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05489D" w14:textId="77777777" w:rsidR="00637F69" w:rsidRDefault="00637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41BAB" w14:textId="77777777" w:rsidR="00791944" w:rsidRDefault="00791944" w:rsidP="000072CA">
      <w:pPr>
        <w:spacing w:after="0" w:line="240" w:lineRule="auto"/>
      </w:pPr>
      <w:r>
        <w:separator/>
      </w:r>
    </w:p>
  </w:footnote>
  <w:footnote w:type="continuationSeparator" w:id="0">
    <w:p w14:paraId="4D2B7BF0" w14:textId="77777777" w:rsidR="00791944" w:rsidRDefault="00791944" w:rsidP="000072CA">
      <w:pPr>
        <w:spacing w:after="0" w:line="240" w:lineRule="auto"/>
      </w:pPr>
      <w:r>
        <w:continuationSeparator/>
      </w:r>
    </w:p>
  </w:footnote>
  <w:footnote w:id="1">
    <w:p w14:paraId="6A637D87" w14:textId="77777777" w:rsidR="008C745A" w:rsidRPr="00DA736B" w:rsidRDefault="008C745A" w:rsidP="008C745A">
      <w:pPr>
        <w:ind w:left="-90"/>
        <w:rPr>
          <w:sz w:val="16"/>
          <w:szCs w:val="16"/>
        </w:rPr>
      </w:pPr>
      <w:r w:rsidRPr="00DA736B">
        <w:rPr>
          <w:rStyle w:val="FootnoteReference"/>
          <w:sz w:val="16"/>
          <w:szCs w:val="16"/>
        </w:rPr>
        <w:footnoteRef/>
      </w:r>
      <w:r w:rsidRPr="00DA736B">
        <w:rPr>
          <w:sz w:val="16"/>
          <w:szCs w:val="16"/>
        </w:rPr>
        <w:t xml:space="preserve"> Notes on the regulations:</w:t>
      </w:r>
    </w:p>
    <w:p w14:paraId="05D399FC" w14:textId="77777777" w:rsidR="008C745A" w:rsidRPr="00DA736B" w:rsidRDefault="008C745A" w:rsidP="008C745A">
      <w:pPr>
        <w:ind w:left="-90"/>
        <w:rPr>
          <w:sz w:val="16"/>
          <w:szCs w:val="16"/>
        </w:rPr>
      </w:pPr>
      <w:r w:rsidRPr="00DA736B">
        <w:rPr>
          <w:sz w:val="16"/>
          <w:szCs w:val="16"/>
        </w:rPr>
        <w:t>**Issued on 2/9/2019. Replaced the regulation No.67 of the year 2014.</w:t>
      </w:r>
    </w:p>
    <w:p w14:paraId="21C70847" w14:textId="77777777" w:rsidR="008C745A" w:rsidRPr="00DA736B" w:rsidRDefault="008C745A" w:rsidP="008C745A">
      <w:pPr>
        <w:ind w:left="-90"/>
        <w:rPr>
          <w:sz w:val="16"/>
          <w:szCs w:val="16"/>
        </w:rPr>
      </w:pPr>
      <w:r w:rsidRPr="00DA736B">
        <w:rPr>
          <w:sz w:val="16"/>
          <w:szCs w:val="16"/>
        </w:rPr>
        <w:t>**contains 8 articles.</w:t>
      </w:r>
    </w:p>
    <w:p w14:paraId="6B955A51" w14:textId="77777777" w:rsidR="008C745A" w:rsidRDefault="008C745A" w:rsidP="008C74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684C" w14:textId="32651C8D" w:rsidR="00050F8C" w:rsidRDefault="00050F8C">
    <w:pPr>
      <w:pStyle w:val="Header"/>
    </w:pPr>
    <w:r>
      <w:rPr>
        <w:noProof/>
      </w:rPr>
      <w:drawing>
        <wp:inline distT="0" distB="0" distL="0" distR="0" wp14:anchorId="33BC32D3" wp14:editId="05ABAB21">
          <wp:extent cx="3293110" cy="609344"/>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526" cy="6164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AFB"/>
    <w:multiLevelType w:val="hybridMultilevel"/>
    <w:tmpl w:val="9F703D86"/>
    <w:lvl w:ilvl="0" w:tplc="B644FBA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2E8306C"/>
    <w:multiLevelType w:val="hybridMultilevel"/>
    <w:tmpl w:val="65246A9E"/>
    <w:lvl w:ilvl="0" w:tplc="6F9E8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03710"/>
    <w:multiLevelType w:val="hybridMultilevel"/>
    <w:tmpl w:val="37A40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6E22"/>
    <w:multiLevelType w:val="hybridMultilevel"/>
    <w:tmpl w:val="DC2ABE46"/>
    <w:lvl w:ilvl="0" w:tplc="0409000B">
      <w:start w:val="1"/>
      <w:numFmt w:val="bullet"/>
      <w:lvlText w:val=""/>
      <w:lvlJc w:val="left"/>
      <w:pPr>
        <w:ind w:left="927" w:hanging="360"/>
      </w:pPr>
      <w:rPr>
        <w:rFonts w:ascii="Wingdings" w:hAnsi="Wingdings" w:hint="default"/>
        <w:color w:val="auto"/>
        <w:u w:val="no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A366008"/>
    <w:multiLevelType w:val="hybridMultilevel"/>
    <w:tmpl w:val="B97C83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4E0047"/>
    <w:multiLevelType w:val="hybridMultilevel"/>
    <w:tmpl w:val="71EAACA0"/>
    <w:lvl w:ilvl="0" w:tplc="A3DE06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D48EC"/>
    <w:multiLevelType w:val="hybridMultilevel"/>
    <w:tmpl w:val="1996E738"/>
    <w:lvl w:ilvl="0" w:tplc="56126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D680D"/>
    <w:multiLevelType w:val="hybridMultilevel"/>
    <w:tmpl w:val="B888AB2C"/>
    <w:lvl w:ilvl="0" w:tplc="5E72D0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57544"/>
    <w:multiLevelType w:val="hybridMultilevel"/>
    <w:tmpl w:val="D42C33AC"/>
    <w:lvl w:ilvl="0" w:tplc="AF307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D088A"/>
    <w:multiLevelType w:val="hybridMultilevel"/>
    <w:tmpl w:val="C3227C76"/>
    <w:lvl w:ilvl="0" w:tplc="7DA82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00A7D"/>
    <w:multiLevelType w:val="hybridMultilevel"/>
    <w:tmpl w:val="AC5E0A32"/>
    <w:lvl w:ilvl="0" w:tplc="F09E7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DE0A98"/>
    <w:multiLevelType w:val="hybridMultilevel"/>
    <w:tmpl w:val="A330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94F5D"/>
    <w:multiLevelType w:val="hybridMultilevel"/>
    <w:tmpl w:val="F652545C"/>
    <w:lvl w:ilvl="0" w:tplc="B644FB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B70326"/>
    <w:multiLevelType w:val="hybridMultilevel"/>
    <w:tmpl w:val="46E8C53C"/>
    <w:lvl w:ilvl="0" w:tplc="BDFCF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7220F"/>
    <w:multiLevelType w:val="hybridMultilevel"/>
    <w:tmpl w:val="31D2D6FC"/>
    <w:lvl w:ilvl="0" w:tplc="5BB836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36742"/>
    <w:multiLevelType w:val="hybridMultilevel"/>
    <w:tmpl w:val="582885C0"/>
    <w:lvl w:ilvl="0" w:tplc="5988079C">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3701C"/>
    <w:multiLevelType w:val="hybridMultilevel"/>
    <w:tmpl w:val="45820E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33909"/>
    <w:multiLevelType w:val="hybridMultilevel"/>
    <w:tmpl w:val="AC5E0A32"/>
    <w:lvl w:ilvl="0" w:tplc="F09E7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282F1A"/>
    <w:multiLevelType w:val="hybridMultilevel"/>
    <w:tmpl w:val="5DE0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F3B5E"/>
    <w:multiLevelType w:val="hybridMultilevel"/>
    <w:tmpl w:val="443E6ED2"/>
    <w:lvl w:ilvl="0" w:tplc="04090017">
      <w:start w:val="1"/>
      <w:numFmt w:val="lowerLetter"/>
      <w:lvlText w:val="%1)"/>
      <w:lvlJc w:val="left"/>
      <w:pPr>
        <w:ind w:left="720" w:hanging="360"/>
      </w:pPr>
    </w:lvl>
    <w:lvl w:ilvl="1" w:tplc="EDBE16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B34C0"/>
    <w:multiLevelType w:val="hybridMultilevel"/>
    <w:tmpl w:val="ECD8C370"/>
    <w:lvl w:ilvl="0" w:tplc="A3DE06C8">
      <w:start w:val="1"/>
      <w:numFmt w:val="bullet"/>
      <w:lvlText w:val="-"/>
      <w:lvlJc w:val="left"/>
      <w:pPr>
        <w:ind w:left="720" w:hanging="360"/>
      </w:pPr>
      <w:rPr>
        <w:rFonts w:ascii="Calibri" w:eastAsiaTheme="minorHAnsi" w:hAnsi="Calibri" w:cs="Calibri" w:hint="default"/>
      </w:rPr>
    </w:lvl>
    <w:lvl w:ilvl="1" w:tplc="A3DE06C8">
      <w:start w:val="1"/>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203D"/>
    <w:multiLevelType w:val="hybridMultilevel"/>
    <w:tmpl w:val="A3382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968A0"/>
    <w:multiLevelType w:val="hybridMultilevel"/>
    <w:tmpl w:val="E73C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73DC7"/>
    <w:multiLevelType w:val="hybridMultilevel"/>
    <w:tmpl w:val="78084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B6FD8"/>
    <w:multiLevelType w:val="hybridMultilevel"/>
    <w:tmpl w:val="7102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3040A"/>
    <w:multiLevelType w:val="hybridMultilevel"/>
    <w:tmpl w:val="D8723BEC"/>
    <w:lvl w:ilvl="0" w:tplc="FA52C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9723B"/>
    <w:multiLevelType w:val="hybridMultilevel"/>
    <w:tmpl w:val="9AFAE9EC"/>
    <w:lvl w:ilvl="0" w:tplc="133E733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8" w15:restartNumberingAfterBreak="0">
    <w:nsid w:val="4A12522E"/>
    <w:multiLevelType w:val="hybridMultilevel"/>
    <w:tmpl w:val="A3382E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3147E2"/>
    <w:multiLevelType w:val="hybridMultilevel"/>
    <w:tmpl w:val="FE2C7DF6"/>
    <w:lvl w:ilvl="0" w:tplc="26E20FA2">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21910"/>
    <w:multiLevelType w:val="hybridMultilevel"/>
    <w:tmpl w:val="534C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40872"/>
    <w:multiLevelType w:val="hybridMultilevel"/>
    <w:tmpl w:val="11600598"/>
    <w:lvl w:ilvl="0" w:tplc="4F9474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1338C8"/>
    <w:multiLevelType w:val="hybridMultilevel"/>
    <w:tmpl w:val="8F7E3720"/>
    <w:lvl w:ilvl="0" w:tplc="7182228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3" w15:restartNumberingAfterBreak="0">
    <w:nsid w:val="57023990"/>
    <w:multiLevelType w:val="hybridMultilevel"/>
    <w:tmpl w:val="831ADA92"/>
    <w:lvl w:ilvl="0" w:tplc="32404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85458A"/>
    <w:multiLevelType w:val="hybridMultilevel"/>
    <w:tmpl w:val="CBD8A8C8"/>
    <w:lvl w:ilvl="0" w:tplc="9064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7C54B7"/>
    <w:multiLevelType w:val="hybridMultilevel"/>
    <w:tmpl w:val="FDA421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C979D1"/>
    <w:multiLevelType w:val="hybridMultilevel"/>
    <w:tmpl w:val="15C21FE8"/>
    <w:lvl w:ilvl="0" w:tplc="9D0C4EC4">
      <w:start w:val="26"/>
      <w:numFmt w:val="bullet"/>
      <w:lvlText w:val="-"/>
      <w:lvlJc w:val="left"/>
      <w:pPr>
        <w:ind w:left="360" w:hanging="360"/>
      </w:pPr>
      <w:rPr>
        <w:rFonts w:ascii="Calibri" w:eastAsiaTheme="minorHAnsi" w:hAnsi="Calibri" w:cs="Calibri" w:hint="default"/>
        <w:i/>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002245"/>
    <w:multiLevelType w:val="hybridMultilevel"/>
    <w:tmpl w:val="AEDCB5FC"/>
    <w:lvl w:ilvl="0" w:tplc="EA66EC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A66DB"/>
    <w:multiLevelType w:val="hybridMultilevel"/>
    <w:tmpl w:val="82C40260"/>
    <w:lvl w:ilvl="0" w:tplc="3C6088E0">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1F7E10"/>
    <w:multiLevelType w:val="hybridMultilevel"/>
    <w:tmpl w:val="EDF43822"/>
    <w:lvl w:ilvl="0" w:tplc="A3DE06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5626F"/>
    <w:multiLevelType w:val="hybridMultilevel"/>
    <w:tmpl w:val="21A4F4C0"/>
    <w:lvl w:ilvl="0" w:tplc="245AFB8E">
      <w:start w:val="1"/>
      <w:numFmt w:val="decimal"/>
      <w:lvlText w:val="%1."/>
      <w:lvlJc w:val="left"/>
      <w:pPr>
        <w:ind w:left="1080" w:hanging="72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76442"/>
    <w:multiLevelType w:val="hybridMultilevel"/>
    <w:tmpl w:val="10780A40"/>
    <w:lvl w:ilvl="0" w:tplc="BDFCF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34D64"/>
    <w:multiLevelType w:val="hybridMultilevel"/>
    <w:tmpl w:val="C78A7796"/>
    <w:lvl w:ilvl="0" w:tplc="757EF028">
      <w:start w:val="19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1"/>
  </w:num>
  <w:num w:numId="4">
    <w:abstractNumId w:val="32"/>
  </w:num>
  <w:num w:numId="5">
    <w:abstractNumId w:val="30"/>
  </w:num>
  <w:num w:numId="6">
    <w:abstractNumId w:val="0"/>
  </w:num>
  <w:num w:numId="7">
    <w:abstractNumId w:val="5"/>
  </w:num>
  <w:num w:numId="8">
    <w:abstractNumId w:val="36"/>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5"/>
  </w:num>
  <w:num w:numId="12">
    <w:abstractNumId w:val="24"/>
  </w:num>
  <w:num w:numId="13">
    <w:abstractNumId w:val="37"/>
  </w:num>
  <w:num w:numId="14">
    <w:abstractNumId w:val="19"/>
  </w:num>
  <w:num w:numId="15">
    <w:abstractNumId w:val="16"/>
  </w:num>
  <w:num w:numId="16">
    <w:abstractNumId w:val="4"/>
  </w:num>
  <w:num w:numId="17">
    <w:abstractNumId w:val="15"/>
  </w:num>
  <w:num w:numId="18">
    <w:abstractNumId w:val="15"/>
    <w:lvlOverride w:ilvl="0">
      <w:lvl w:ilvl="0" w:tplc="5988079C">
        <w:start w:val="1"/>
        <w:numFmt w:val="upperRoman"/>
        <w:lvlText w:val="%1."/>
        <w:lvlJc w:val="left"/>
        <w:pPr>
          <w:ind w:left="144"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5"/>
    <w:lvlOverride w:ilvl="0">
      <w:lvl w:ilvl="0" w:tplc="5988079C">
        <w:start w:val="1"/>
        <w:numFmt w:val="upperRoman"/>
        <w:lvlText w:val="%1."/>
        <w:lvlJc w:val="left"/>
        <w:pPr>
          <w:ind w:left="144"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
  </w:num>
  <w:num w:numId="21">
    <w:abstractNumId w:val="23"/>
  </w:num>
  <w:num w:numId="22">
    <w:abstractNumId w:val="9"/>
  </w:num>
  <w:num w:numId="23">
    <w:abstractNumId w:val="40"/>
  </w:num>
  <w:num w:numId="24">
    <w:abstractNumId w:val="22"/>
  </w:num>
  <w:num w:numId="25">
    <w:abstractNumId w:val="12"/>
  </w:num>
  <w:num w:numId="26">
    <w:abstractNumId w:val="29"/>
  </w:num>
  <w:num w:numId="27">
    <w:abstractNumId w:val="26"/>
  </w:num>
  <w:num w:numId="28">
    <w:abstractNumId w:val="34"/>
  </w:num>
  <w:num w:numId="29">
    <w:abstractNumId w:val="8"/>
  </w:num>
  <w:num w:numId="30">
    <w:abstractNumId w:val="27"/>
  </w:num>
  <w:num w:numId="31">
    <w:abstractNumId w:val="41"/>
  </w:num>
  <w:num w:numId="32">
    <w:abstractNumId w:val="10"/>
  </w:num>
  <w:num w:numId="33">
    <w:abstractNumId w:val="25"/>
  </w:num>
  <w:num w:numId="34">
    <w:abstractNumId w:val="7"/>
  </w:num>
  <w:num w:numId="35">
    <w:abstractNumId w:val="14"/>
  </w:num>
  <w:num w:numId="36">
    <w:abstractNumId w:val="38"/>
  </w:num>
  <w:num w:numId="37">
    <w:abstractNumId w:val="28"/>
  </w:num>
  <w:num w:numId="38">
    <w:abstractNumId w:val="2"/>
  </w:num>
  <w:num w:numId="39">
    <w:abstractNumId w:val="39"/>
  </w:num>
  <w:num w:numId="40">
    <w:abstractNumId w:val="20"/>
  </w:num>
  <w:num w:numId="41">
    <w:abstractNumId w:val="21"/>
  </w:num>
  <w:num w:numId="42">
    <w:abstractNumId w:val="17"/>
  </w:num>
  <w:num w:numId="43">
    <w:abstractNumId w:val="1"/>
  </w:num>
  <w:num w:numId="44">
    <w:abstractNumId w:val="13"/>
  </w:num>
  <w:num w:numId="45">
    <w:abstractNumId w:val="33"/>
  </w:num>
  <w:num w:numId="46">
    <w:abstractNumId w:val="4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B8"/>
    <w:rsid w:val="000072CA"/>
    <w:rsid w:val="00011D38"/>
    <w:rsid w:val="0001381A"/>
    <w:rsid w:val="00013D2F"/>
    <w:rsid w:val="000212B1"/>
    <w:rsid w:val="00027CA9"/>
    <w:rsid w:val="00034677"/>
    <w:rsid w:val="00036F7C"/>
    <w:rsid w:val="00037A66"/>
    <w:rsid w:val="00044092"/>
    <w:rsid w:val="00047085"/>
    <w:rsid w:val="0004714C"/>
    <w:rsid w:val="00047E67"/>
    <w:rsid w:val="00047F3A"/>
    <w:rsid w:val="00050F8C"/>
    <w:rsid w:val="00063B64"/>
    <w:rsid w:val="00067BF9"/>
    <w:rsid w:val="00070068"/>
    <w:rsid w:val="000736C6"/>
    <w:rsid w:val="00073AED"/>
    <w:rsid w:val="00074396"/>
    <w:rsid w:val="000808A4"/>
    <w:rsid w:val="00080CF0"/>
    <w:rsid w:val="0008332A"/>
    <w:rsid w:val="00085265"/>
    <w:rsid w:val="00086704"/>
    <w:rsid w:val="00087904"/>
    <w:rsid w:val="00087B4F"/>
    <w:rsid w:val="00094FC3"/>
    <w:rsid w:val="00095DC2"/>
    <w:rsid w:val="00095F2F"/>
    <w:rsid w:val="00097C0F"/>
    <w:rsid w:val="00097CC3"/>
    <w:rsid w:val="000A006C"/>
    <w:rsid w:val="000A0E7A"/>
    <w:rsid w:val="000A2BA8"/>
    <w:rsid w:val="000A2E7F"/>
    <w:rsid w:val="000A4474"/>
    <w:rsid w:val="000B0446"/>
    <w:rsid w:val="000B20D2"/>
    <w:rsid w:val="000B6B09"/>
    <w:rsid w:val="000B7662"/>
    <w:rsid w:val="000C15C0"/>
    <w:rsid w:val="000C2F5A"/>
    <w:rsid w:val="000C563A"/>
    <w:rsid w:val="000C7753"/>
    <w:rsid w:val="000E3585"/>
    <w:rsid w:val="000E4A8D"/>
    <w:rsid w:val="000E78D9"/>
    <w:rsid w:val="000F0E5B"/>
    <w:rsid w:val="000F22DC"/>
    <w:rsid w:val="00101465"/>
    <w:rsid w:val="0010418B"/>
    <w:rsid w:val="00105AF5"/>
    <w:rsid w:val="00110476"/>
    <w:rsid w:val="001162D1"/>
    <w:rsid w:val="00136C84"/>
    <w:rsid w:val="00137549"/>
    <w:rsid w:val="00143F0C"/>
    <w:rsid w:val="00147CFB"/>
    <w:rsid w:val="00157B26"/>
    <w:rsid w:val="001607CB"/>
    <w:rsid w:val="001639B7"/>
    <w:rsid w:val="00177662"/>
    <w:rsid w:val="00177981"/>
    <w:rsid w:val="001800C8"/>
    <w:rsid w:val="00182C31"/>
    <w:rsid w:val="00190553"/>
    <w:rsid w:val="00194331"/>
    <w:rsid w:val="00194896"/>
    <w:rsid w:val="00197A21"/>
    <w:rsid w:val="001A0453"/>
    <w:rsid w:val="001A293E"/>
    <w:rsid w:val="001A584B"/>
    <w:rsid w:val="001B0826"/>
    <w:rsid w:val="001C56F9"/>
    <w:rsid w:val="001D140D"/>
    <w:rsid w:val="001D1F56"/>
    <w:rsid w:val="001D6353"/>
    <w:rsid w:val="001E1A46"/>
    <w:rsid w:val="001F5B14"/>
    <w:rsid w:val="001F6020"/>
    <w:rsid w:val="00205C9E"/>
    <w:rsid w:val="00217389"/>
    <w:rsid w:val="00220FB3"/>
    <w:rsid w:val="00221D15"/>
    <w:rsid w:val="00224FF0"/>
    <w:rsid w:val="00225C0A"/>
    <w:rsid w:val="00226D0A"/>
    <w:rsid w:val="002322AE"/>
    <w:rsid w:val="00232CD0"/>
    <w:rsid w:val="002373A5"/>
    <w:rsid w:val="0024032B"/>
    <w:rsid w:val="002512AF"/>
    <w:rsid w:val="002601D8"/>
    <w:rsid w:val="00261108"/>
    <w:rsid w:val="002676E7"/>
    <w:rsid w:val="002701CF"/>
    <w:rsid w:val="00270842"/>
    <w:rsid w:val="00271870"/>
    <w:rsid w:val="0027194E"/>
    <w:rsid w:val="002723A0"/>
    <w:rsid w:val="0027330A"/>
    <w:rsid w:val="00287930"/>
    <w:rsid w:val="002900C0"/>
    <w:rsid w:val="0029112A"/>
    <w:rsid w:val="002934AE"/>
    <w:rsid w:val="0029605B"/>
    <w:rsid w:val="00296640"/>
    <w:rsid w:val="002A2C1B"/>
    <w:rsid w:val="002A6DD3"/>
    <w:rsid w:val="002B31FE"/>
    <w:rsid w:val="002B66BE"/>
    <w:rsid w:val="002B716B"/>
    <w:rsid w:val="002C17C1"/>
    <w:rsid w:val="002C1AA5"/>
    <w:rsid w:val="002C3BAA"/>
    <w:rsid w:val="002C4D8D"/>
    <w:rsid w:val="002C6E06"/>
    <w:rsid w:val="002D39FC"/>
    <w:rsid w:val="002D7C99"/>
    <w:rsid w:val="002E0900"/>
    <w:rsid w:val="002E638A"/>
    <w:rsid w:val="002F5742"/>
    <w:rsid w:val="00300380"/>
    <w:rsid w:val="00300AED"/>
    <w:rsid w:val="00300DF6"/>
    <w:rsid w:val="00302852"/>
    <w:rsid w:val="00303D43"/>
    <w:rsid w:val="00304EC1"/>
    <w:rsid w:val="00310F07"/>
    <w:rsid w:val="00312CF7"/>
    <w:rsid w:val="0031446D"/>
    <w:rsid w:val="00315399"/>
    <w:rsid w:val="00315410"/>
    <w:rsid w:val="00320423"/>
    <w:rsid w:val="00322038"/>
    <w:rsid w:val="00322358"/>
    <w:rsid w:val="00324309"/>
    <w:rsid w:val="003251F2"/>
    <w:rsid w:val="00327CBE"/>
    <w:rsid w:val="003327B1"/>
    <w:rsid w:val="00332CAD"/>
    <w:rsid w:val="00340236"/>
    <w:rsid w:val="00341D1E"/>
    <w:rsid w:val="003445F2"/>
    <w:rsid w:val="00357C65"/>
    <w:rsid w:val="00362937"/>
    <w:rsid w:val="003635FF"/>
    <w:rsid w:val="003663B1"/>
    <w:rsid w:val="003708BE"/>
    <w:rsid w:val="00383281"/>
    <w:rsid w:val="00384D85"/>
    <w:rsid w:val="00386A80"/>
    <w:rsid w:val="003923DB"/>
    <w:rsid w:val="00392D10"/>
    <w:rsid w:val="0039411A"/>
    <w:rsid w:val="003968B6"/>
    <w:rsid w:val="00396F1B"/>
    <w:rsid w:val="003975AC"/>
    <w:rsid w:val="003A3A06"/>
    <w:rsid w:val="003B20D9"/>
    <w:rsid w:val="003B78FF"/>
    <w:rsid w:val="003D41B4"/>
    <w:rsid w:val="003D5CAB"/>
    <w:rsid w:val="003E07E9"/>
    <w:rsid w:val="003E3EBC"/>
    <w:rsid w:val="003E4BE6"/>
    <w:rsid w:val="003F4604"/>
    <w:rsid w:val="003F4B3C"/>
    <w:rsid w:val="004008C6"/>
    <w:rsid w:val="00401462"/>
    <w:rsid w:val="00403FCD"/>
    <w:rsid w:val="0040484F"/>
    <w:rsid w:val="00405EA0"/>
    <w:rsid w:val="004133AA"/>
    <w:rsid w:val="00415B32"/>
    <w:rsid w:val="0041786A"/>
    <w:rsid w:val="004202DF"/>
    <w:rsid w:val="00421BB3"/>
    <w:rsid w:val="00427334"/>
    <w:rsid w:val="00431655"/>
    <w:rsid w:val="0044057E"/>
    <w:rsid w:val="004422A7"/>
    <w:rsid w:val="0044353F"/>
    <w:rsid w:val="0044592A"/>
    <w:rsid w:val="004469D4"/>
    <w:rsid w:val="004503B7"/>
    <w:rsid w:val="00451BC1"/>
    <w:rsid w:val="00464BC5"/>
    <w:rsid w:val="0047452A"/>
    <w:rsid w:val="00475B67"/>
    <w:rsid w:val="004829CD"/>
    <w:rsid w:val="00490394"/>
    <w:rsid w:val="00490ACE"/>
    <w:rsid w:val="00490DFC"/>
    <w:rsid w:val="00493C0E"/>
    <w:rsid w:val="004A0A46"/>
    <w:rsid w:val="004A2286"/>
    <w:rsid w:val="004B5633"/>
    <w:rsid w:val="004B5E45"/>
    <w:rsid w:val="004C1E51"/>
    <w:rsid w:val="004C251F"/>
    <w:rsid w:val="004C259C"/>
    <w:rsid w:val="004C394B"/>
    <w:rsid w:val="004C7566"/>
    <w:rsid w:val="004D18B3"/>
    <w:rsid w:val="004D1EA4"/>
    <w:rsid w:val="004D2970"/>
    <w:rsid w:val="004D3D7E"/>
    <w:rsid w:val="004D7F91"/>
    <w:rsid w:val="004E1203"/>
    <w:rsid w:val="004E3DB6"/>
    <w:rsid w:val="004E4414"/>
    <w:rsid w:val="004F01AF"/>
    <w:rsid w:val="004F1B86"/>
    <w:rsid w:val="004F3C9C"/>
    <w:rsid w:val="004F4B17"/>
    <w:rsid w:val="00502296"/>
    <w:rsid w:val="00502913"/>
    <w:rsid w:val="00505474"/>
    <w:rsid w:val="005066DC"/>
    <w:rsid w:val="00507D7F"/>
    <w:rsid w:val="00513577"/>
    <w:rsid w:val="005238AC"/>
    <w:rsid w:val="00525747"/>
    <w:rsid w:val="00526E52"/>
    <w:rsid w:val="005341E3"/>
    <w:rsid w:val="00534978"/>
    <w:rsid w:val="00540838"/>
    <w:rsid w:val="00544A53"/>
    <w:rsid w:val="005465CD"/>
    <w:rsid w:val="0055055C"/>
    <w:rsid w:val="00553E42"/>
    <w:rsid w:val="00553F19"/>
    <w:rsid w:val="005607BF"/>
    <w:rsid w:val="00562458"/>
    <w:rsid w:val="005624B5"/>
    <w:rsid w:val="00563847"/>
    <w:rsid w:val="00564D52"/>
    <w:rsid w:val="00570D9C"/>
    <w:rsid w:val="005766E9"/>
    <w:rsid w:val="00576C8D"/>
    <w:rsid w:val="005801D6"/>
    <w:rsid w:val="005845E0"/>
    <w:rsid w:val="0058462C"/>
    <w:rsid w:val="00584CE9"/>
    <w:rsid w:val="00586E62"/>
    <w:rsid w:val="00591B83"/>
    <w:rsid w:val="00593E08"/>
    <w:rsid w:val="00595633"/>
    <w:rsid w:val="005A7C2A"/>
    <w:rsid w:val="005B3194"/>
    <w:rsid w:val="005C042D"/>
    <w:rsid w:val="005C12DC"/>
    <w:rsid w:val="005C2E0A"/>
    <w:rsid w:val="005C309A"/>
    <w:rsid w:val="005C4E4B"/>
    <w:rsid w:val="005C7D4A"/>
    <w:rsid w:val="005D1093"/>
    <w:rsid w:val="005D1F95"/>
    <w:rsid w:val="005D21BE"/>
    <w:rsid w:val="005D220C"/>
    <w:rsid w:val="005D2624"/>
    <w:rsid w:val="005D35C4"/>
    <w:rsid w:val="005D4689"/>
    <w:rsid w:val="005D7ACD"/>
    <w:rsid w:val="005E2D33"/>
    <w:rsid w:val="005E3115"/>
    <w:rsid w:val="005E334F"/>
    <w:rsid w:val="005E524C"/>
    <w:rsid w:val="005E62A9"/>
    <w:rsid w:val="005E7C78"/>
    <w:rsid w:val="005F254C"/>
    <w:rsid w:val="00600ABF"/>
    <w:rsid w:val="00617644"/>
    <w:rsid w:val="00624408"/>
    <w:rsid w:val="006304E9"/>
    <w:rsid w:val="00631A7B"/>
    <w:rsid w:val="006328AB"/>
    <w:rsid w:val="00637F69"/>
    <w:rsid w:val="00641EFE"/>
    <w:rsid w:val="00650D75"/>
    <w:rsid w:val="006513C6"/>
    <w:rsid w:val="0065269C"/>
    <w:rsid w:val="00653246"/>
    <w:rsid w:val="00653552"/>
    <w:rsid w:val="00656567"/>
    <w:rsid w:val="00656816"/>
    <w:rsid w:val="00660B86"/>
    <w:rsid w:val="00663FB7"/>
    <w:rsid w:val="00666901"/>
    <w:rsid w:val="00666B88"/>
    <w:rsid w:val="00670456"/>
    <w:rsid w:val="006727B3"/>
    <w:rsid w:val="00672FF4"/>
    <w:rsid w:val="00676A38"/>
    <w:rsid w:val="00677A95"/>
    <w:rsid w:val="00693BC8"/>
    <w:rsid w:val="006970D8"/>
    <w:rsid w:val="006A22E0"/>
    <w:rsid w:val="006B10D9"/>
    <w:rsid w:val="006B1E5F"/>
    <w:rsid w:val="006B41F6"/>
    <w:rsid w:val="006B65AB"/>
    <w:rsid w:val="006B7162"/>
    <w:rsid w:val="006C519D"/>
    <w:rsid w:val="006D4734"/>
    <w:rsid w:val="006D718D"/>
    <w:rsid w:val="006E222E"/>
    <w:rsid w:val="006E22B3"/>
    <w:rsid w:val="006E2F5F"/>
    <w:rsid w:val="006E42D7"/>
    <w:rsid w:val="006E6809"/>
    <w:rsid w:val="006E7F5C"/>
    <w:rsid w:val="006F19F5"/>
    <w:rsid w:val="006F3395"/>
    <w:rsid w:val="00705500"/>
    <w:rsid w:val="00714DEC"/>
    <w:rsid w:val="00722649"/>
    <w:rsid w:val="00723F3D"/>
    <w:rsid w:val="00736AC7"/>
    <w:rsid w:val="00743152"/>
    <w:rsid w:val="00745C69"/>
    <w:rsid w:val="00753953"/>
    <w:rsid w:val="00753D1F"/>
    <w:rsid w:val="0076319B"/>
    <w:rsid w:val="00767CC3"/>
    <w:rsid w:val="00767E94"/>
    <w:rsid w:val="00770A24"/>
    <w:rsid w:val="00770DEF"/>
    <w:rsid w:val="007760D9"/>
    <w:rsid w:val="00776B5D"/>
    <w:rsid w:val="00780532"/>
    <w:rsid w:val="007831AC"/>
    <w:rsid w:val="00787B8D"/>
    <w:rsid w:val="007918C7"/>
    <w:rsid w:val="00791944"/>
    <w:rsid w:val="00791D2C"/>
    <w:rsid w:val="00794601"/>
    <w:rsid w:val="0079538C"/>
    <w:rsid w:val="007A166F"/>
    <w:rsid w:val="007A2292"/>
    <w:rsid w:val="007C312B"/>
    <w:rsid w:val="007C5404"/>
    <w:rsid w:val="007C5B1F"/>
    <w:rsid w:val="007D6352"/>
    <w:rsid w:val="007D6C6A"/>
    <w:rsid w:val="007E5341"/>
    <w:rsid w:val="007F0AC7"/>
    <w:rsid w:val="007F1131"/>
    <w:rsid w:val="007F73D5"/>
    <w:rsid w:val="007F77FB"/>
    <w:rsid w:val="00804BA6"/>
    <w:rsid w:val="008069B2"/>
    <w:rsid w:val="0081060F"/>
    <w:rsid w:val="0081163C"/>
    <w:rsid w:val="0081311F"/>
    <w:rsid w:val="00814BA5"/>
    <w:rsid w:val="00823474"/>
    <w:rsid w:val="00826E49"/>
    <w:rsid w:val="00833CBF"/>
    <w:rsid w:val="008349BE"/>
    <w:rsid w:val="00835875"/>
    <w:rsid w:val="00836194"/>
    <w:rsid w:val="008368DD"/>
    <w:rsid w:val="00840D0D"/>
    <w:rsid w:val="00843090"/>
    <w:rsid w:val="00844E4E"/>
    <w:rsid w:val="00851890"/>
    <w:rsid w:val="008521C0"/>
    <w:rsid w:val="00852DB1"/>
    <w:rsid w:val="008711AA"/>
    <w:rsid w:val="008712A7"/>
    <w:rsid w:val="00875BE2"/>
    <w:rsid w:val="008846EF"/>
    <w:rsid w:val="00885006"/>
    <w:rsid w:val="00887C61"/>
    <w:rsid w:val="00890A6F"/>
    <w:rsid w:val="00890E73"/>
    <w:rsid w:val="00891249"/>
    <w:rsid w:val="008922DC"/>
    <w:rsid w:val="00895540"/>
    <w:rsid w:val="00896C2B"/>
    <w:rsid w:val="008B28C8"/>
    <w:rsid w:val="008B41CC"/>
    <w:rsid w:val="008B439C"/>
    <w:rsid w:val="008B5E88"/>
    <w:rsid w:val="008B630C"/>
    <w:rsid w:val="008C1FB9"/>
    <w:rsid w:val="008C1FEC"/>
    <w:rsid w:val="008C22CD"/>
    <w:rsid w:val="008C2BB6"/>
    <w:rsid w:val="008C49C0"/>
    <w:rsid w:val="008C5A89"/>
    <w:rsid w:val="008C745A"/>
    <w:rsid w:val="008C792B"/>
    <w:rsid w:val="008D591D"/>
    <w:rsid w:val="008E01B7"/>
    <w:rsid w:val="008E092C"/>
    <w:rsid w:val="008E5F0A"/>
    <w:rsid w:val="008F176B"/>
    <w:rsid w:val="008F75A2"/>
    <w:rsid w:val="00900888"/>
    <w:rsid w:val="009039A6"/>
    <w:rsid w:val="00905D89"/>
    <w:rsid w:val="00906F11"/>
    <w:rsid w:val="00912367"/>
    <w:rsid w:val="0091294D"/>
    <w:rsid w:val="0091398A"/>
    <w:rsid w:val="00915646"/>
    <w:rsid w:val="00921179"/>
    <w:rsid w:val="00921FDE"/>
    <w:rsid w:val="0092255F"/>
    <w:rsid w:val="009240DA"/>
    <w:rsid w:val="0093072A"/>
    <w:rsid w:val="0093257A"/>
    <w:rsid w:val="00932A04"/>
    <w:rsid w:val="00934041"/>
    <w:rsid w:val="009364EF"/>
    <w:rsid w:val="009407FE"/>
    <w:rsid w:val="0094764C"/>
    <w:rsid w:val="0095075A"/>
    <w:rsid w:val="009603ED"/>
    <w:rsid w:val="00960850"/>
    <w:rsid w:val="00962E8F"/>
    <w:rsid w:val="00964335"/>
    <w:rsid w:val="00967FFD"/>
    <w:rsid w:val="00970A2F"/>
    <w:rsid w:val="00971341"/>
    <w:rsid w:val="0097314B"/>
    <w:rsid w:val="009753C9"/>
    <w:rsid w:val="009754E0"/>
    <w:rsid w:val="00976B55"/>
    <w:rsid w:val="00981A80"/>
    <w:rsid w:val="00986BF2"/>
    <w:rsid w:val="00987607"/>
    <w:rsid w:val="0099342E"/>
    <w:rsid w:val="00993AF4"/>
    <w:rsid w:val="009948C3"/>
    <w:rsid w:val="00994E41"/>
    <w:rsid w:val="00996033"/>
    <w:rsid w:val="009963CF"/>
    <w:rsid w:val="009A2240"/>
    <w:rsid w:val="009A6442"/>
    <w:rsid w:val="009A7AF6"/>
    <w:rsid w:val="009B1705"/>
    <w:rsid w:val="009B356C"/>
    <w:rsid w:val="009B413B"/>
    <w:rsid w:val="009B71BE"/>
    <w:rsid w:val="009B7430"/>
    <w:rsid w:val="009C38CC"/>
    <w:rsid w:val="009D6024"/>
    <w:rsid w:val="009D6202"/>
    <w:rsid w:val="009D6817"/>
    <w:rsid w:val="009E1CD0"/>
    <w:rsid w:val="009F16F9"/>
    <w:rsid w:val="009F4020"/>
    <w:rsid w:val="00A0027D"/>
    <w:rsid w:val="00A07F6F"/>
    <w:rsid w:val="00A127E2"/>
    <w:rsid w:val="00A20F2D"/>
    <w:rsid w:val="00A22DAA"/>
    <w:rsid w:val="00A22F38"/>
    <w:rsid w:val="00A25D40"/>
    <w:rsid w:val="00A30226"/>
    <w:rsid w:val="00A32B22"/>
    <w:rsid w:val="00A3412C"/>
    <w:rsid w:val="00A415B9"/>
    <w:rsid w:val="00A433C6"/>
    <w:rsid w:val="00A439CC"/>
    <w:rsid w:val="00A4546C"/>
    <w:rsid w:val="00A50A49"/>
    <w:rsid w:val="00A526F5"/>
    <w:rsid w:val="00A546A9"/>
    <w:rsid w:val="00A576B4"/>
    <w:rsid w:val="00A6015F"/>
    <w:rsid w:val="00A60D9A"/>
    <w:rsid w:val="00A64249"/>
    <w:rsid w:val="00A67C83"/>
    <w:rsid w:val="00A70B6D"/>
    <w:rsid w:val="00A73BB5"/>
    <w:rsid w:val="00A8147F"/>
    <w:rsid w:val="00A81A61"/>
    <w:rsid w:val="00A87D9C"/>
    <w:rsid w:val="00AB0F53"/>
    <w:rsid w:val="00AB6D5A"/>
    <w:rsid w:val="00AB725E"/>
    <w:rsid w:val="00AC1B51"/>
    <w:rsid w:val="00AC4E0B"/>
    <w:rsid w:val="00AD2A26"/>
    <w:rsid w:val="00AE2057"/>
    <w:rsid w:val="00AF2CC5"/>
    <w:rsid w:val="00AF5AD0"/>
    <w:rsid w:val="00B0302A"/>
    <w:rsid w:val="00B035A6"/>
    <w:rsid w:val="00B059FD"/>
    <w:rsid w:val="00B07E48"/>
    <w:rsid w:val="00B22827"/>
    <w:rsid w:val="00B307EF"/>
    <w:rsid w:val="00B34666"/>
    <w:rsid w:val="00B364AB"/>
    <w:rsid w:val="00B419F8"/>
    <w:rsid w:val="00B423F1"/>
    <w:rsid w:val="00B55E6C"/>
    <w:rsid w:val="00B56481"/>
    <w:rsid w:val="00B632AA"/>
    <w:rsid w:val="00B634AF"/>
    <w:rsid w:val="00B65302"/>
    <w:rsid w:val="00B65FAF"/>
    <w:rsid w:val="00B704EE"/>
    <w:rsid w:val="00B7165A"/>
    <w:rsid w:val="00B74D44"/>
    <w:rsid w:val="00B80165"/>
    <w:rsid w:val="00B8481C"/>
    <w:rsid w:val="00B85BEA"/>
    <w:rsid w:val="00B867A2"/>
    <w:rsid w:val="00B87F8C"/>
    <w:rsid w:val="00B90E9F"/>
    <w:rsid w:val="00B96E0F"/>
    <w:rsid w:val="00BA0C41"/>
    <w:rsid w:val="00BA7FFE"/>
    <w:rsid w:val="00BB4BEF"/>
    <w:rsid w:val="00BB66DF"/>
    <w:rsid w:val="00BC2D88"/>
    <w:rsid w:val="00BD1BA5"/>
    <w:rsid w:val="00BD21C9"/>
    <w:rsid w:val="00BD5354"/>
    <w:rsid w:val="00BD5CBE"/>
    <w:rsid w:val="00BD615E"/>
    <w:rsid w:val="00BD67FA"/>
    <w:rsid w:val="00BD721E"/>
    <w:rsid w:val="00BF32F2"/>
    <w:rsid w:val="00BF445A"/>
    <w:rsid w:val="00C010E8"/>
    <w:rsid w:val="00C115BA"/>
    <w:rsid w:val="00C26241"/>
    <w:rsid w:val="00C31881"/>
    <w:rsid w:val="00C31B32"/>
    <w:rsid w:val="00C42CB5"/>
    <w:rsid w:val="00C51771"/>
    <w:rsid w:val="00C51E8C"/>
    <w:rsid w:val="00C612BB"/>
    <w:rsid w:val="00C61C40"/>
    <w:rsid w:val="00C671C5"/>
    <w:rsid w:val="00C7475B"/>
    <w:rsid w:val="00C86C65"/>
    <w:rsid w:val="00C87AC1"/>
    <w:rsid w:val="00C96376"/>
    <w:rsid w:val="00CA0A29"/>
    <w:rsid w:val="00CA31B1"/>
    <w:rsid w:val="00CA4FAF"/>
    <w:rsid w:val="00CB7AD6"/>
    <w:rsid w:val="00CC12A9"/>
    <w:rsid w:val="00CC2919"/>
    <w:rsid w:val="00CC3044"/>
    <w:rsid w:val="00CD1BC5"/>
    <w:rsid w:val="00CD274A"/>
    <w:rsid w:val="00CD709B"/>
    <w:rsid w:val="00CE0A4D"/>
    <w:rsid w:val="00CE56B0"/>
    <w:rsid w:val="00CF078C"/>
    <w:rsid w:val="00CF0BC7"/>
    <w:rsid w:val="00CF1B80"/>
    <w:rsid w:val="00CF7484"/>
    <w:rsid w:val="00D001FD"/>
    <w:rsid w:val="00D015C8"/>
    <w:rsid w:val="00D01E04"/>
    <w:rsid w:val="00D03B60"/>
    <w:rsid w:val="00D03FCB"/>
    <w:rsid w:val="00D045D4"/>
    <w:rsid w:val="00D06A37"/>
    <w:rsid w:val="00D06C3A"/>
    <w:rsid w:val="00D078B2"/>
    <w:rsid w:val="00D11F42"/>
    <w:rsid w:val="00D12C1B"/>
    <w:rsid w:val="00D1762F"/>
    <w:rsid w:val="00D219D1"/>
    <w:rsid w:val="00D30E36"/>
    <w:rsid w:val="00D31327"/>
    <w:rsid w:val="00D32FCE"/>
    <w:rsid w:val="00D50057"/>
    <w:rsid w:val="00D50D41"/>
    <w:rsid w:val="00D51225"/>
    <w:rsid w:val="00D51BE4"/>
    <w:rsid w:val="00D56DF7"/>
    <w:rsid w:val="00D617CE"/>
    <w:rsid w:val="00D62E7B"/>
    <w:rsid w:val="00D6580E"/>
    <w:rsid w:val="00D67383"/>
    <w:rsid w:val="00D72108"/>
    <w:rsid w:val="00D734CE"/>
    <w:rsid w:val="00D74A25"/>
    <w:rsid w:val="00D777E9"/>
    <w:rsid w:val="00D85B06"/>
    <w:rsid w:val="00D868AE"/>
    <w:rsid w:val="00D87F3F"/>
    <w:rsid w:val="00D92541"/>
    <w:rsid w:val="00D9360F"/>
    <w:rsid w:val="00D952A0"/>
    <w:rsid w:val="00D97592"/>
    <w:rsid w:val="00DA14FA"/>
    <w:rsid w:val="00DA1D92"/>
    <w:rsid w:val="00DA240E"/>
    <w:rsid w:val="00DA67A9"/>
    <w:rsid w:val="00DB5E68"/>
    <w:rsid w:val="00DC1CE1"/>
    <w:rsid w:val="00DC5ECF"/>
    <w:rsid w:val="00DD72CD"/>
    <w:rsid w:val="00DF74C2"/>
    <w:rsid w:val="00DF79A2"/>
    <w:rsid w:val="00DF7E8F"/>
    <w:rsid w:val="00E11272"/>
    <w:rsid w:val="00E12786"/>
    <w:rsid w:val="00E14CFD"/>
    <w:rsid w:val="00E14DFE"/>
    <w:rsid w:val="00E16035"/>
    <w:rsid w:val="00E23248"/>
    <w:rsid w:val="00E23458"/>
    <w:rsid w:val="00E26226"/>
    <w:rsid w:val="00E27117"/>
    <w:rsid w:val="00E34B10"/>
    <w:rsid w:val="00E40844"/>
    <w:rsid w:val="00E40B72"/>
    <w:rsid w:val="00E46DC8"/>
    <w:rsid w:val="00E56A5F"/>
    <w:rsid w:val="00E56BA5"/>
    <w:rsid w:val="00E61D3C"/>
    <w:rsid w:val="00E66CC4"/>
    <w:rsid w:val="00E67D17"/>
    <w:rsid w:val="00E83E8A"/>
    <w:rsid w:val="00E85BA8"/>
    <w:rsid w:val="00E8738D"/>
    <w:rsid w:val="00E92349"/>
    <w:rsid w:val="00E93D58"/>
    <w:rsid w:val="00E9784E"/>
    <w:rsid w:val="00EA4FC2"/>
    <w:rsid w:val="00EB6045"/>
    <w:rsid w:val="00EC2D98"/>
    <w:rsid w:val="00EC49E8"/>
    <w:rsid w:val="00EC4D0E"/>
    <w:rsid w:val="00EC7205"/>
    <w:rsid w:val="00ED141D"/>
    <w:rsid w:val="00ED1AED"/>
    <w:rsid w:val="00ED2451"/>
    <w:rsid w:val="00ED269F"/>
    <w:rsid w:val="00ED68E4"/>
    <w:rsid w:val="00ED6D44"/>
    <w:rsid w:val="00ED7C8D"/>
    <w:rsid w:val="00ED7D9E"/>
    <w:rsid w:val="00EE0A50"/>
    <w:rsid w:val="00EE160B"/>
    <w:rsid w:val="00EE2436"/>
    <w:rsid w:val="00EE24FC"/>
    <w:rsid w:val="00EE27CD"/>
    <w:rsid w:val="00EE38A7"/>
    <w:rsid w:val="00EF1597"/>
    <w:rsid w:val="00EF1B1C"/>
    <w:rsid w:val="00EF38AA"/>
    <w:rsid w:val="00EF6A71"/>
    <w:rsid w:val="00F051D0"/>
    <w:rsid w:val="00F05841"/>
    <w:rsid w:val="00F15F83"/>
    <w:rsid w:val="00F31D55"/>
    <w:rsid w:val="00F36F6A"/>
    <w:rsid w:val="00F43278"/>
    <w:rsid w:val="00F44763"/>
    <w:rsid w:val="00F50441"/>
    <w:rsid w:val="00F53EB3"/>
    <w:rsid w:val="00F54741"/>
    <w:rsid w:val="00F62A8D"/>
    <w:rsid w:val="00F66412"/>
    <w:rsid w:val="00F73194"/>
    <w:rsid w:val="00F737F6"/>
    <w:rsid w:val="00F7426B"/>
    <w:rsid w:val="00F74A73"/>
    <w:rsid w:val="00F80A12"/>
    <w:rsid w:val="00F80A6A"/>
    <w:rsid w:val="00F92D88"/>
    <w:rsid w:val="00F9432E"/>
    <w:rsid w:val="00F97329"/>
    <w:rsid w:val="00FA266D"/>
    <w:rsid w:val="00FA39B8"/>
    <w:rsid w:val="00FA43B8"/>
    <w:rsid w:val="00FA5755"/>
    <w:rsid w:val="00FB13FF"/>
    <w:rsid w:val="00FB14C7"/>
    <w:rsid w:val="00FB627D"/>
    <w:rsid w:val="00FB7B33"/>
    <w:rsid w:val="00FC1FB2"/>
    <w:rsid w:val="00FC411B"/>
    <w:rsid w:val="00FD0263"/>
    <w:rsid w:val="00FD0DE3"/>
    <w:rsid w:val="00FD1CFC"/>
    <w:rsid w:val="00FD21D3"/>
    <w:rsid w:val="00FD43CB"/>
    <w:rsid w:val="00FD4EB0"/>
    <w:rsid w:val="00FD528D"/>
    <w:rsid w:val="00FD658C"/>
    <w:rsid w:val="00FD7307"/>
    <w:rsid w:val="00FD7618"/>
    <w:rsid w:val="00FE4380"/>
    <w:rsid w:val="00FF4BE1"/>
    <w:rsid w:val="00FF546F"/>
    <w:rsid w:val="00FF7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7B2"/>
  <w15:chartTrackingRefBased/>
  <w15:docId w15:val="{EB2F30D6-FAB3-4514-A335-379C56A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A9"/>
  </w:style>
  <w:style w:type="paragraph" w:styleId="Heading1">
    <w:name w:val="heading 1"/>
    <w:basedOn w:val="Normal"/>
    <w:link w:val="Heading1Char"/>
    <w:uiPriority w:val="9"/>
    <w:qFormat/>
    <w:rsid w:val="00FD6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D6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B8"/>
    <w:rPr>
      <w:color w:val="0563C1" w:themeColor="hyperlink"/>
      <w:u w:val="single"/>
    </w:rPr>
  </w:style>
  <w:style w:type="character" w:styleId="UnresolvedMention">
    <w:name w:val="Unresolved Mention"/>
    <w:basedOn w:val="DefaultParagraphFont"/>
    <w:uiPriority w:val="99"/>
    <w:semiHidden/>
    <w:unhideWhenUsed/>
    <w:rsid w:val="00FA39B8"/>
    <w:rPr>
      <w:color w:val="605E5C"/>
      <w:shd w:val="clear" w:color="auto" w:fill="E1DFDD"/>
    </w:rPr>
  </w:style>
  <w:style w:type="paragraph" w:styleId="BalloonText">
    <w:name w:val="Balloon Text"/>
    <w:basedOn w:val="Normal"/>
    <w:link w:val="BalloonTextChar"/>
    <w:uiPriority w:val="99"/>
    <w:semiHidden/>
    <w:unhideWhenUsed/>
    <w:rsid w:val="005D3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C4"/>
    <w:rPr>
      <w:rFonts w:ascii="Segoe UI" w:hAnsi="Segoe UI" w:cs="Segoe UI"/>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87930"/>
    <w:pPr>
      <w:ind w:left="720"/>
      <w:contextualSpacing/>
    </w:pPr>
  </w:style>
  <w:style w:type="paragraph" w:styleId="Header">
    <w:name w:val="header"/>
    <w:basedOn w:val="Normal"/>
    <w:link w:val="HeaderChar"/>
    <w:uiPriority w:val="99"/>
    <w:unhideWhenUsed/>
    <w:rsid w:val="0000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CA"/>
  </w:style>
  <w:style w:type="paragraph" w:styleId="Footer">
    <w:name w:val="footer"/>
    <w:basedOn w:val="Normal"/>
    <w:link w:val="FooterChar"/>
    <w:uiPriority w:val="99"/>
    <w:unhideWhenUsed/>
    <w:qFormat/>
    <w:rsid w:val="0000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CA"/>
  </w:style>
  <w:style w:type="paragraph" w:styleId="NormalWeb">
    <w:name w:val="Normal (Web)"/>
    <w:basedOn w:val="Normal"/>
    <w:uiPriority w:val="99"/>
    <w:semiHidden/>
    <w:unhideWhenUsed/>
    <w:rsid w:val="00D51BE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6442"/>
    <w:rPr>
      <w:sz w:val="16"/>
      <w:szCs w:val="16"/>
    </w:rPr>
  </w:style>
  <w:style w:type="paragraph" w:styleId="CommentText">
    <w:name w:val="annotation text"/>
    <w:basedOn w:val="Normal"/>
    <w:link w:val="CommentTextChar"/>
    <w:uiPriority w:val="99"/>
    <w:unhideWhenUsed/>
    <w:rsid w:val="009A6442"/>
    <w:pPr>
      <w:spacing w:line="240" w:lineRule="auto"/>
    </w:pPr>
    <w:rPr>
      <w:sz w:val="20"/>
      <w:szCs w:val="20"/>
    </w:rPr>
  </w:style>
  <w:style w:type="character" w:customStyle="1" w:styleId="CommentTextChar">
    <w:name w:val="Comment Text Char"/>
    <w:basedOn w:val="DefaultParagraphFont"/>
    <w:link w:val="CommentText"/>
    <w:uiPriority w:val="99"/>
    <w:rsid w:val="009A6442"/>
    <w:rPr>
      <w:sz w:val="20"/>
      <w:szCs w:val="20"/>
    </w:rPr>
  </w:style>
  <w:style w:type="paragraph" w:styleId="CommentSubject">
    <w:name w:val="annotation subject"/>
    <w:basedOn w:val="CommentText"/>
    <w:next w:val="CommentText"/>
    <w:link w:val="CommentSubjectChar"/>
    <w:uiPriority w:val="99"/>
    <w:semiHidden/>
    <w:unhideWhenUsed/>
    <w:rsid w:val="009A6442"/>
    <w:rPr>
      <w:b/>
      <w:bCs/>
    </w:rPr>
  </w:style>
  <w:style w:type="character" w:customStyle="1" w:styleId="CommentSubjectChar">
    <w:name w:val="Comment Subject Char"/>
    <w:basedOn w:val="CommentTextChar"/>
    <w:link w:val="CommentSubject"/>
    <w:uiPriority w:val="99"/>
    <w:semiHidden/>
    <w:rsid w:val="009A6442"/>
    <w:rPr>
      <w:b/>
      <w:bCs/>
      <w:sz w:val="20"/>
      <w:szCs w:val="20"/>
    </w:rPr>
  </w:style>
  <w:style w:type="paragraph" w:styleId="Revision">
    <w:name w:val="Revision"/>
    <w:hidden/>
    <w:uiPriority w:val="99"/>
    <w:semiHidden/>
    <w:rsid w:val="009A6442"/>
    <w:pPr>
      <w:spacing w:after="0" w:line="240" w:lineRule="auto"/>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locked/>
    <w:rsid w:val="005C12DC"/>
  </w:style>
  <w:style w:type="paragraph" w:styleId="FootnoteText">
    <w:name w:val="footnote text"/>
    <w:basedOn w:val="Normal"/>
    <w:link w:val="FootnoteTextChar"/>
    <w:uiPriority w:val="99"/>
    <w:semiHidden/>
    <w:unhideWhenUsed/>
    <w:rsid w:val="005D1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F95"/>
    <w:rPr>
      <w:sz w:val="20"/>
      <w:szCs w:val="20"/>
    </w:rPr>
  </w:style>
  <w:style w:type="character" w:styleId="FootnoteReference">
    <w:name w:val="footnote reference"/>
    <w:basedOn w:val="DefaultParagraphFont"/>
    <w:uiPriority w:val="99"/>
    <w:semiHidden/>
    <w:unhideWhenUsed/>
    <w:rsid w:val="005D1F95"/>
    <w:rPr>
      <w:vertAlign w:val="superscript"/>
    </w:rPr>
  </w:style>
  <w:style w:type="character" w:styleId="FollowedHyperlink">
    <w:name w:val="FollowedHyperlink"/>
    <w:basedOn w:val="DefaultParagraphFont"/>
    <w:uiPriority w:val="99"/>
    <w:semiHidden/>
    <w:unhideWhenUsed/>
    <w:rsid w:val="00A70B6D"/>
    <w:rPr>
      <w:color w:val="954F72" w:themeColor="followedHyperlink"/>
      <w:u w:val="single"/>
    </w:rPr>
  </w:style>
  <w:style w:type="character" w:customStyle="1" w:styleId="hblue13ptleft">
    <w:name w:val="h_blue_13pt_left"/>
    <w:basedOn w:val="DefaultParagraphFont"/>
    <w:rsid w:val="007D6C6A"/>
  </w:style>
  <w:style w:type="character" w:customStyle="1" w:styleId="Heading1Char">
    <w:name w:val="Heading 1 Char"/>
    <w:basedOn w:val="DefaultParagraphFont"/>
    <w:link w:val="Heading1"/>
    <w:uiPriority w:val="9"/>
    <w:rsid w:val="00FD65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58C"/>
    <w:rPr>
      <w:rFonts w:asciiTheme="majorHAnsi" w:eastAsiaTheme="majorEastAsia" w:hAnsiTheme="majorHAnsi" w:cstheme="majorBidi"/>
      <w:color w:val="2F5496" w:themeColor="accent1" w:themeShade="BF"/>
      <w:sz w:val="26"/>
      <w:szCs w:val="26"/>
    </w:rPr>
  </w:style>
  <w:style w:type="paragraph" w:customStyle="1" w:styleId="ColorfulList-Accent11">
    <w:name w:val="Colorful List - Accent 11"/>
    <w:basedOn w:val="Normal"/>
    <w:uiPriority w:val="99"/>
    <w:qFormat/>
    <w:rsid w:val="00E61D3C"/>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8C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839">
      <w:bodyDiv w:val="1"/>
      <w:marLeft w:val="0"/>
      <w:marRight w:val="0"/>
      <w:marTop w:val="0"/>
      <w:marBottom w:val="0"/>
      <w:divBdr>
        <w:top w:val="none" w:sz="0" w:space="0" w:color="auto"/>
        <w:left w:val="none" w:sz="0" w:space="0" w:color="auto"/>
        <w:bottom w:val="none" w:sz="0" w:space="0" w:color="auto"/>
        <w:right w:val="none" w:sz="0" w:space="0" w:color="auto"/>
      </w:divBdr>
    </w:div>
    <w:div w:id="137957793">
      <w:bodyDiv w:val="1"/>
      <w:marLeft w:val="0"/>
      <w:marRight w:val="0"/>
      <w:marTop w:val="0"/>
      <w:marBottom w:val="0"/>
      <w:divBdr>
        <w:top w:val="none" w:sz="0" w:space="0" w:color="auto"/>
        <w:left w:val="none" w:sz="0" w:space="0" w:color="auto"/>
        <w:bottom w:val="none" w:sz="0" w:space="0" w:color="auto"/>
        <w:right w:val="none" w:sz="0" w:space="0" w:color="auto"/>
      </w:divBdr>
    </w:div>
    <w:div w:id="498932885">
      <w:bodyDiv w:val="1"/>
      <w:marLeft w:val="0"/>
      <w:marRight w:val="0"/>
      <w:marTop w:val="0"/>
      <w:marBottom w:val="0"/>
      <w:divBdr>
        <w:top w:val="none" w:sz="0" w:space="0" w:color="auto"/>
        <w:left w:val="none" w:sz="0" w:space="0" w:color="auto"/>
        <w:bottom w:val="none" w:sz="0" w:space="0" w:color="auto"/>
        <w:right w:val="none" w:sz="0" w:space="0" w:color="auto"/>
      </w:divBdr>
    </w:div>
    <w:div w:id="821582431">
      <w:bodyDiv w:val="1"/>
      <w:marLeft w:val="0"/>
      <w:marRight w:val="0"/>
      <w:marTop w:val="0"/>
      <w:marBottom w:val="0"/>
      <w:divBdr>
        <w:top w:val="none" w:sz="0" w:space="0" w:color="auto"/>
        <w:left w:val="none" w:sz="0" w:space="0" w:color="auto"/>
        <w:bottom w:val="none" w:sz="0" w:space="0" w:color="auto"/>
        <w:right w:val="none" w:sz="0" w:space="0" w:color="auto"/>
      </w:divBdr>
      <w:divsChild>
        <w:div w:id="1946185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00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b:Tag>
    <b:SourceType>Report</b:SourceType>
    <b:Guid>{0C755727-AEBC-4681-8C41-D044D0BF1C5B}</b:Guid>
    <b:Title>UN Definition of Terrorism</b:Title>
    <b:Publisher>Insert place from which this definition is found.</b:Publisher>
    <b:Author>
      <b:Author>
        <b:NameList>
          <b:Person>
            <b:Last>Malkawi</b:Last>
            <b:First>Feras</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29614e541eb1ba6ac22e24465c9f4313">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3d50f929a3ea172dc4a899252e81b53b"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6E42E-14AE-46C8-BF48-23DAEACE0AEE}">
  <ds:schemaRefs>
    <ds:schemaRef ds:uri="http://schemas.openxmlformats.org/officeDocument/2006/bibliography"/>
  </ds:schemaRefs>
</ds:datastoreItem>
</file>

<file path=customXml/itemProps2.xml><?xml version="1.0" encoding="utf-8"?>
<ds:datastoreItem xmlns:ds="http://schemas.openxmlformats.org/officeDocument/2006/customXml" ds:itemID="{D3E6F05F-B216-4857-BF16-84C2CEEC5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B9864-1389-48CA-8AA0-FC111965D360}">
  <ds:schemaRefs>
    <ds:schemaRef ds:uri="http://schemas.microsoft.com/sharepoint/v3/contenttype/forms"/>
  </ds:schemaRefs>
</ds:datastoreItem>
</file>

<file path=customXml/itemProps4.xml><?xml version="1.0" encoding="utf-8"?>
<ds:datastoreItem xmlns:ds="http://schemas.openxmlformats.org/officeDocument/2006/customXml" ds:itemID="{08BC77EA-1AB9-4418-869B-A055657C25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Feras Almalkawi</dc:creator>
  <cp:keywords/>
  <dc:description/>
  <cp:lastModifiedBy>Saud Al-Sakr</cp:lastModifiedBy>
  <cp:revision>2</cp:revision>
  <dcterms:created xsi:type="dcterms:W3CDTF">2021-01-31T12:25:00Z</dcterms:created>
  <dcterms:modified xsi:type="dcterms:W3CDTF">2021-01-31T12:25:00Z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